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8E" w:rsidRDefault="008173FB" w:rsidP="008173FB">
      <w:pPr>
        <w:spacing w:after="0" w:line="240" w:lineRule="auto"/>
        <w:jc w:val="center"/>
        <w:rPr>
          <w:rFonts w:cs="Times New Roman"/>
          <w:b/>
          <w:sz w:val="24"/>
          <w:szCs w:val="24"/>
        </w:rPr>
      </w:pPr>
      <w:bookmarkStart w:id="0" w:name="_GoBack"/>
      <w:bookmarkEnd w:id="0"/>
      <w:r w:rsidRPr="008173FB">
        <w:rPr>
          <w:rFonts w:cs="Times New Roman"/>
          <w:b/>
          <w:sz w:val="24"/>
          <w:szCs w:val="24"/>
        </w:rPr>
        <w:t>India Water Week – 2015</w:t>
      </w:r>
    </w:p>
    <w:p w:rsidR="00316600" w:rsidRPr="004A1DDC" w:rsidRDefault="00316600" w:rsidP="008173FB">
      <w:pPr>
        <w:spacing w:after="0" w:line="240" w:lineRule="auto"/>
        <w:jc w:val="center"/>
        <w:rPr>
          <w:rFonts w:cs="Times New Roman"/>
          <w:b/>
          <w:sz w:val="18"/>
          <w:szCs w:val="18"/>
        </w:rPr>
      </w:pPr>
      <w:r w:rsidRPr="008173FB">
        <w:rPr>
          <w:rFonts w:cs="Times New Roman"/>
          <w:b/>
          <w:sz w:val="24"/>
          <w:szCs w:val="24"/>
        </w:rPr>
        <w:t>Event Plan</w:t>
      </w:r>
    </w:p>
    <w:tbl>
      <w:tblPr>
        <w:tblStyle w:val="TableGrid"/>
        <w:tblW w:w="13858" w:type="dxa"/>
        <w:tblLook w:val="04A0"/>
      </w:tblPr>
      <w:tblGrid>
        <w:gridCol w:w="581"/>
        <w:gridCol w:w="546"/>
        <w:gridCol w:w="616"/>
        <w:gridCol w:w="1744"/>
        <w:gridCol w:w="1632"/>
        <w:gridCol w:w="111"/>
        <w:gridCol w:w="1070"/>
        <w:gridCol w:w="535"/>
        <w:gridCol w:w="139"/>
        <w:gridCol w:w="1743"/>
        <w:gridCol w:w="1629"/>
        <w:gridCol w:w="115"/>
        <w:gridCol w:w="334"/>
        <w:gridCol w:w="3063"/>
      </w:tblGrid>
      <w:tr w:rsidR="00316600" w:rsidRPr="004A1DDC" w:rsidTr="004C3B85">
        <w:tc>
          <w:tcPr>
            <w:tcW w:w="581" w:type="dxa"/>
          </w:tcPr>
          <w:p w:rsidR="00316600" w:rsidRPr="004A1DDC" w:rsidRDefault="00316600" w:rsidP="009B0E7A">
            <w:pPr>
              <w:jc w:val="center"/>
              <w:rPr>
                <w:rFonts w:cs="Times New Roman"/>
                <w:b/>
                <w:sz w:val="18"/>
                <w:szCs w:val="18"/>
              </w:rPr>
            </w:pPr>
            <w:r w:rsidRPr="004A1DDC">
              <w:rPr>
                <w:rFonts w:cs="Times New Roman"/>
                <w:b/>
                <w:sz w:val="18"/>
                <w:szCs w:val="18"/>
              </w:rPr>
              <w:t xml:space="preserve">Date </w:t>
            </w: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 xml:space="preserve">Hall No. </w:t>
            </w:r>
          </w:p>
        </w:tc>
        <w:tc>
          <w:tcPr>
            <w:tcW w:w="5173" w:type="dxa"/>
            <w:gridSpan w:val="5"/>
          </w:tcPr>
          <w:p w:rsidR="00316600" w:rsidRPr="004A1DDC" w:rsidRDefault="00316600" w:rsidP="009B0E7A">
            <w:pPr>
              <w:jc w:val="center"/>
              <w:rPr>
                <w:rFonts w:cs="Times New Roman"/>
                <w:b/>
                <w:sz w:val="18"/>
                <w:szCs w:val="18"/>
              </w:rPr>
            </w:pPr>
            <w:r w:rsidRPr="004A1DDC">
              <w:rPr>
                <w:rFonts w:cs="Times New Roman"/>
                <w:b/>
                <w:sz w:val="18"/>
                <w:szCs w:val="18"/>
              </w:rPr>
              <w:t xml:space="preserve">Morning Session from 1000 to 1230 Hrs with Tea Break from 1115 to 1130 Hrs (In case of two events, first event would be completed before tea break. On day 1, session start at 0930 Hrs) </w:t>
            </w:r>
          </w:p>
        </w:tc>
        <w:tc>
          <w:tcPr>
            <w:tcW w:w="535" w:type="dxa"/>
            <w:vMerge w:val="restart"/>
            <w:textDirection w:val="btLr"/>
            <w:vAlign w:val="center"/>
          </w:tcPr>
          <w:p w:rsidR="00316600" w:rsidRPr="004A1DDC" w:rsidRDefault="00316600" w:rsidP="009B0E7A">
            <w:pPr>
              <w:ind w:left="113" w:right="113"/>
              <w:jc w:val="center"/>
              <w:rPr>
                <w:rFonts w:cs="Times New Roman"/>
                <w:b/>
                <w:sz w:val="18"/>
                <w:szCs w:val="18"/>
              </w:rPr>
            </w:pPr>
            <w:r w:rsidRPr="004A1DDC">
              <w:rPr>
                <w:rFonts w:cs="Times New Roman"/>
                <w:b/>
                <w:sz w:val="18"/>
                <w:szCs w:val="18"/>
              </w:rPr>
              <w:t xml:space="preserve">Lunch Break (from 1230 Hrs to 1330 Hrs) </w:t>
            </w:r>
          </w:p>
        </w:tc>
        <w:tc>
          <w:tcPr>
            <w:tcW w:w="3511" w:type="dxa"/>
            <w:gridSpan w:val="3"/>
          </w:tcPr>
          <w:p w:rsidR="00316600" w:rsidRPr="004A1DDC" w:rsidRDefault="00316600" w:rsidP="009B0E7A">
            <w:pPr>
              <w:jc w:val="center"/>
              <w:rPr>
                <w:rFonts w:cs="Times New Roman"/>
                <w:b/>
                <w:sz w:val="18"/>
                <w:szCs w:val="18"/>
              </w:rPr>
            </w:pPr>
            <w:r w:rsidRPr="004A1DDC">
              <w:rPr>
                <w:rFonts w:cs="Times New Roman"/>
                <w:b/>
                <w:sz w:val="18"/>
                <w:szCs w:val="18"/>
              </w:rPr>
              <w:t xml:space="preserve">Post Lunch Session </w:t>
            </w:r>
          </w:p>
          <w:p w:rsidR="00316600" w:rsidRPr="004A1DDC" w:rsidRDefault="00316600" w:rsidP="009B0E7A">
            <w:pPr>
              <w:jc w:val="center"/>
              <w:rPr>
                <w:rFonts w:cs="Times New Roman"/>
                <w:b/>
                <w:sz w:val="18"/>
                <w:szCs w:val="18"/>
              </w:rPr>
            </w:pPr>
            <w:r w:rsidRPr="004A1DDC">
              <w:rPr>
                <w:rFonts w:cs="Times New Roman"/>
                <w:b/>
                <w:sz w:val="18"/>
                <w:szCs w:val="18"/>
              </w:rPr>
              <w:t>(from 1330 to 1515Hrs)</w:t>
            </w:r>
          </w:p>
        </w:tc>
        <w:tc>
          <w:tcPr>
            <w:tcW w:w="449" w:type="dxa"/>
            <w:gridSpan w:val="2"/>
            <w:vMerge w:val="restart"/>
            <w:textDirection w:val="btLr"/>
            <w:vAlign w:val="center"/>
          </w:tcPr>
          <w:p w:rsidR="00316600" w:rsidRPr="004A1DDC" w:rsidRDefault="00316600" w:rsidP="009B0E7A">
            <w:pPr>
              <w:ind w:left="113" w:right="113"/>
              <w:jc w:val="center"/>
              <w:rPr>
                <w:rFonts w:cs="Times New Roman"/>
                <w:b/>
                <w:sz w:val="18"/>
                <w:szCs w:val="18"/>
              </w:rPr>
            </w:pPr>
            <w:r w:rsidRPr="004A1DDC">
              <w:rPr>
                <w:rFonts w:cs="Times New Roman"/>
                <w:b/>
                <w:sz w:val="18"/>
                <w:szCs w:val="18"/>
              </w:rPr>
              <w:t>Tea Break (from 1515 Hrs to 1530 Hrs)</w:t>
            </w:r>
          </w:p>
        </w:tc>
        <w:tc>
          <w:tcPr>
            <w:tcW w:w="3063" w:type="dxa"/>
          </w:tcPr>
          <w:p w:rsidR="00316600" w:rsidRPr="004A1DDC" w:rsidRDefault="00316600" w:rsidP="009B0E7A">
            <w:pPr>
              <w:jc w:val="center"/>
              <w:rPr>
                <w:rFonts w:cs="Times New Roman"/>
                <w:b/>
                <w:sz w:val="18"/>
                <w:szCs w:val="18"/>
              </w:rPr>
            </w:pPr>
            <w:r w:rsidRPr="004A1DDC">
              <w:rPr>
                <w:rFonts w:cs="Times New Roman"/>
                <w:b/>
                <w:sz w:val="18"/>
                <w:szCs w:val="18"/>
              </w:rPr>
              <w:t xml:space="preserve">Evening Session </w:t>
            </w:r>
          </w:p>
          <w:p w:rsidR="00316600" w:rsidRPr="004A1DDC" w:rsidRDefault="00316600" w:rsidP="009B0E7A">
            <w:pPr>
              <w:jc w:val="center"/>
              <w:rPr>
                <w:rFonts w:cs="Times New Roman"/>
                <w:b/>
                <w:sz w:val="18"/>
                <w:szCs w:val="18"/>
              </w:rPr>
            </w:pPr>
            <w:r w:rsidRPr="004A1DDC">
              <w:rPr>
                <w:rFonts w:cs="Times New Roman"/>
                <w:b/>
                <w:sz w:val="18"/>
                <w:szCs w:val="18"/>
              </w:rPr>
              <w:t>(from 1530 to 1715Hrs)</w:t>
            </w:r>
          </w:p>
        </w:tc>
      </w:tr>
      <w:tr w:rsidR="00316600" w:rsidRPr="004A1DDC" w:rsidTr="004C3B85">
        <w:tc>
          <w:tcPr>
            <w:tcW w:w="581" w:type="dxa"/>
            <w:vMerge w:val="restart"/>
          </w:tcPr>
          <w:p w:rsidR="00316600" w:rsidRPr="004A1DDC" w:rsidRDefault="00316600" w:rsidP="009B0E7A">
            <w:pPr>
              <w:jc w:val="center"/>
              <w:rPr>
                <w:rFonts w:cs="Times New Roman"/>
                <w:b/>
                <w:sz w:val="18"/>
                <w:szCs w:val="18"/>
              </w:rPr>
            </w:pPr>
            <w:r w:rsidRPr="004A1DDC">
              <w:rPr>
                <w:rFonts w:cs="Times New Roman"/>
                <w:b/>
                <w:sz w:val="18"/>
                <w:szCs w:val="18"/>
              </w:rPr>
              <w:t>Jan. 14, 2015</w:t>
            </w: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w:t>
            </w:r>
          </w:p>
        </w:tc>
        <w:tc>
          <w:tcPr>
            <w:tcW w:w="3992" w:type="dxa"/>
            <w:gridSpan w:val="3"/>
            <w:shd w:val="clear" w:color="auto" w:fill="FFC000"/>
          </w:tcPr>
          <w:p w:rsidR="00316600" w:rsidRPr="004A1DDC" w:rsidRDefault="00316600" w:rsidP="009B0E7A">
            <w:pPr>
              <w:rPr>
                <w:rFonts w:cs="Times New Roman"/>
                <w:sz w:val="18"/>
                <w:szCs w:val="18"/>
              </w:rPr>
            </w:pPr>
            <w:r w:rsidRPr="004A1DDC">
              <w:rPr>
                <w:rFonts w:cs="Times New Roman"/>
                <w:sz w:val="18"/>
                <w:szCs w:val="18"/>
              </w:rPr>
              <w:t>S7: Sustainable Waste</w:t>
            </w:r>
            <w:r w:rsidR="002435C7">
              <w:rPr>
                <w:rFonts w:cs="Times New Roman"/>
                <w:sz w:val="18"/>
                <w:szCs w:val="18"/>
              </w:rPr>
              <w:t xml:space="preserve"> </w:t>
            </w:r>
            <w:r w:rsidR="002435C7" w:rsidRPr="004A1DDC">
              <w:rPr>
                <w:rFonts w:cs="Times New Roman"/>
                <w:sz w:val="18"/>
                <w:szCs w:val="18"/>
              </w:rPr>
              <w:t xml:space="preserve">Water </w:t>
            </w:r>
            <w:r w:rsidRPr="004A1DDC">
              <w:rPr>
                <w:rFonts w:cs="Times New Roman"/>
                <w:sz w:val="18"/>
                <w:szCs w:val="18"/>
              </w:rPr>
              <w:t>Management</w:t>
            </w:r>
            <w:r>
              <w:rPr>
                <w:rFonts w:cs="Times New Roman"/>
                <w:sz w:val="18"/>
                <w:szCs w:val="18"/>
              </w:rPr>
              <w:t xml:space="preserve"> </w:t>
            </w:r>
          </w:p>
        </w:tc>
        <w:tc>
          <w:tcPr>
            <w:tcW w:w="1181" w:type="dxa"/>
            <w:gridSpan w:val="2"/>
            <w:vMerge w:val="restart"/>
            <w:shd w:val="clear" w:color="auto" w:fill="FDE9D9" w:themeFill="accent6" w:themeFillTint="33"/>
            <w:vAlign w:val="center"/>
          </w:tcPr>
          <w:p w:rsidR="00316600" w:rsidRPr="004A1DDC" w:rsidRDefault="00316600" w:rsidP="002A58EA">
            <w:pPr>
              <w:jc w:val="center"/>
              <w:rPr>
                <w:rFonts w:cs="Times New Roman"/>
                <w:b/>
                <w:sz w:val="18"/>
                <w:szCs w:val="18"/>
              </w:rPr>
            </w:pPr>
            <w:r w:rsidRPr="004A1DDC">
              <w:rPr>
                <w:rFonts w:cs="Times New Roman"/>
                <w:b/>
                <w:sz w:val="18"/>
                <w:szCs w:val="18"/>
              </w:rPr>
              <w:t xml:space="preserve">Inauguration of Exhibition by Hon’ble Minister at 1115 Hrs in Hall No. </w:t>
            </w:r>
            <w:r w:rsidR="002A58EA">
              <w:rPr>
                <w:rFonts w:cs="Times New Roman"/>
                <w:b/>
                <w:sz w:val="18"/>
                <w:szCs w:val="18"/>
              </w:rPr>
              <w:t>14</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C000"/>
          </w:tcPr>
          <w:p w:rsidR="00316600" w:rsidRPr="004A1DDC" w:rsidRDefault="00316600" w:rsidP="005F66FE">
            <w:pPr>
              <w:rPr>
                <w:rFonts w:cs="Times New Roman"/>
                <w:b/>
                <w:sz w:val="18"/>
                <w:szCs w:val="18"/>
              </w:rPr>
            </w:pPr>
            <w:r w:rsidRPr="004A1DDC">
              <w:rPr>
                <w:rFonts w:cs="Times New Roman"/>
                <w:sz w:val="18"/>
                <w:szCs w:val="18"/>
              </w:rPr>
              <w:t>S13</w:t>
            </w:r>
            <w:r w:rsidR="000F088E">
              <w:rPr>
                <w:rFonts w:cs="Times New Roman"/>
                <w:sz w:val="18"/>
                <w:szCs w:val="18"/>
              </w:rPr>
              <w:t>:</w:t>
            </w:r>
            <w:r w:rsidRPr="004A1DDC">
              <w:rPr>
                <w:rFonts w:cs="Times New Roman"/>
                <w:sz w:val="18"/>
                <w:szCs w:val="18"/>
              </w:rPr>
              <w:t xml:space="preserve"> Water </w:t>
            </w:r>
            <w:r w:rsidR="000C447D" w:rsidRPr="004A1DDC">
              <w:rPr>
                <w:rFonts w:cs="Times New Roman"/>
                <w:sz w:val="18"/>
                <w:szCs w:val="18"/>
              </w:rPr>
              <w:t>Management through Participatory Approach</w:t>
            </w:r>
            <w:r w:rsidR="000C447D">
              <w:rPr>
                <w:rFonts w:cs="Times New Roman"/>
                <w:sz w:val="18"/>
                <w:szCs w:val="18"/>
              </w:rPr>
              <w:t xml:space="preserve"> </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C000"/>
          </w:tcPr>
          <w:p w:rsidR="00316600" w:rsidRPr="004A1DDC" w:rsidRDefault="00316600" w:rsidP="005F66FE">
            <w:pPr>
              <w:rPr>
                <w:rFonts w:cs="Times New Roman"/>
                <w:sz w:val="18"/>
                <w:szCs w:val="18"/>
              </w:rPr>
            </w:pPr>
            <w:r w:rsidRPr="004A1DDC">
              <w:rPr>
                <w:rFonts w:cs="Times New Roman"/>
                <w:sz w:val="18"/>
                <w:szCs w:val="18"/>
              </w:rPr>
              <w:t xml:space="preserve">S8: Managing Water Demand for Sustained Industrial Growth </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II</w:t>
            </w:r>
          </w:p>
        </w:tc>
        <w:tc>
          <w:tcPr>
            <w:tcW w:w="3992" w:type="dxa"/>
            <w:gridSpan w:val="3"/>
            <w:shd w:val="clear" w:color="auto" w:fill="FFC000"/>
          </w:tcPr>
          <w:p w:rsidR="00316600" w:rsidRPr="004A1DDC" w:rsidRDefault="00316600" w:rsidP="009B0E7A">
            <w:pPr>
              <w:rPr>
                <w:rFonts w:cs="Times New Roman"/>
                <w:b/>
                <w:sz w:val="18"/>
                <w:szCs w:val="18"/>
              </w:rPr>
            </w:pPr>
            <w:r w:rsidRPr="004A1DDC">
              <w:rPr>
                <w:rFonts w:cs="Times New Roman"/>
                <w:sz w:val="18"/>
                <w:szCs w:val="18"/>
              </w:rPr>
              <w:t>S5</w:t>
            </w:r>
            <w:r w:rsidR="00AF4453">
              <w:rPr>
                <w:rFonts w:cs="Times New Roman"/>
                <w:sz w:val="18"/>
                <w:szCs w:val="18"/>
              </w:rPr>
              <w:t>:</w:t>
            </w:r>
            <w:r w:rsidRPr="004A1DDC">
              <w:rPr>
                <w:rFonts w:cs="Times New Roman"/>
                <w:sz w:val="18"/>
                <w:szCs w:val="18"/>
              </w:rPr>
              <w:t xml:space="preserve"> Drinking </w:t>
            </w:r>
            <w:r w:rsidR="002435C7" w:rsidRPr="004A1DDC">
              <w:rPr>
                <w:rFonts w:cs="Times New Roman"/>
                <w:sz w:val="18"/>
                <w:szCs w:val="18"/>
              </w:rPr>
              <w:t xml:space="preserve">Water Supply – Issues </w:t>
            </w:r>
            <w:r w:rsidRPr="004A1DDC">
              <w:rPr>
                <w:rFonts w:cs="Times New Roman"/>
                <w:sz w:val="18"/>
                <w:szCs w:val="18"/>
              </w:rPr>
              <w:t xml:space="preserve">and </w:t>
            </w:r>
            <w:r w:rsidR="002435C7" w:rsidRPr="004A1DDC">
              <w:rPr>
                <w:rFonts w:cs="Times New Roman"/>
                <w:sz w:val="18"/>
                <w:szCs w:val="18"/>
              </w:rPr>
              <w:t>Challenges</w:t>
            </w:r>
          </w:p>
        </w:tc>
        <w:tc>
          <w:tcPr>
            <w:tcW w:w="1181" w:type="dxa"/>
            <w:gridSpan w:val="2"/>
            <w:vMerge/>
            <w:shd w:val="clear" w:color="auto" w:fill="FDE9D9" w:themeFill="accent6" w:themeFillTint="33"/>
          </w:tcPr>
          <w:p w:rsidR="00316600" w:rsidRPr="004A1DDC" w:rsidRDefault="00316600" w:rsidP="009B0E7A">
            <w:pPr>
              <w:rPr>
                <w:rFonts w:cs="Times New Roman"/>
                <w:sz w:val="18"/>
                <w:szCs w:val="18"/>
              </w:rPr>
            </w:pP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C000"/>
          </w:tcPr>
          <w:p w:rsidR="00316600" w:rsidRPr="004A1DDC" w:rsidRDefault="00316600" w:rsidP="000C447D">
            <w:pPr>
              <w:rPr>
                <w:rFonts w:cs="Times New Roman"/>
                <w:sz w:val="18"/>
                <w:szCs w:val="18"/>
              </w:rPr>
            </w:pPr>
            <w:r w:rsidRPr="004A1DDC">
              <w:rPr>
                <w:rFonts w:cs="Times New Roman"/>
                <w:sz w:val="18"/>
                <w:szCs w:val="18"/>
              </w:rPr>
              <w:t>S12</w:t>
            </w:r>
            <w:r w:rsidR="000F088E">
              <w:rPr>
                <w:rFonts w:cs="Times New Roman"/>
                <w:sz w:val="18"/>
                <w:szCs w:val="18"/>
              </w:rPr>
              <w:t>:</w:t>
            </w:r>
            <w:r w:rsidRPr="004A1DDC">
              <w:rPr>
                <w:rFonts w:cs="Times New Roman"/>
                <w:sz w:val="18"/>
                <w:szCs w:val="18"/>
              </w:rPr>
              <w:t xml:space="preserve">Experiences </w:t>
            </w:r>
            <w:r w:rsidR="000C447D" w:rsidRPr="004A1DDC">
              <w:rPr>
                <w:rFonts w:cs="Times New Roman"/>
                <w:sz w:val="18"/>
                <w:szCs w:val="18"/>
              </w:rPr>
              <w:t>Of Inter</w:t>
            </w:r>
            <w:r w:rsidR="000C447D">
              <w:rPr>
                <w:rFonts w:cs="Times New Roman"/>
                <w:sz w:val="18"/>
                <w:szCs w:val="18"/>
              </w:rPr>
              <w:t xml:space="preserve"> </w:t>
            </w:r>
            <w:r w:rsidR="000C447D" w:rsidRPr="004A1DDC">
              <w:rPr>
                <w:rFonts w:cs="Times New Roman"/>
                <w:sz w:val="18"/>
                <w:szCs w:val="18"/>
              </w:rPr>
              <w:t>Basin Transfer of Water</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FF00"/>
          </w:tcPr>
          <w:p w:rsidR="00316600" w:rsidRPr="004A1DDC" w:rsidRDefault="00316600" w:rsidP="005F66FE">
            <w:pPr>
              <w:rPr>
                <w:rFonts w:cs="Times New Roman"/>
                <w:sz w:val="18"/>
                <w:szCs w:val="18"/>
              </w:rPr>
            </w:pPr>
            <w:r w:rsidRPr="004A1DDC">
              <w:rPr>
                <w:rFonts w:cs="Times New Roman"/>
                <w:sz w:val="18"/>
                <w:szCs w:val="18"/>
              </w:rPr>
              <w:t>PD8: Role of Youth in Sustainable Water Management</w:t>
            </w:r>
            <w:r>
              <w:rPr>
                <w:rFonts w:cs="Times New Roman"/>
                <w:sz w:val="18"/>
                <w:szCs w:val="18"/>
              </w:rPr>
              <w:t xml:space="preserve"> </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III</w:t>
            </w:r>
          </w:p>
        </w:tc>
        <w:tc>
          <w:tcPr>
            <w:tcW w:w="3992" w:type="dxa"/>
            <w:gridSpan w:val="3"/>
            <w:shd w:val="clear" w:color="auto" w:fill="FFFF00"/>
          </w:tcPr>
          <w:p w:rsidR="00316600" w:rsidRPr="004A1DDC" w:rsidRDefault="00316600" w:rsidP="005F66FE">
            <w:pPr>
              <w:rPr>
                <w:rFonts w:cs="Times New Roman"/>
                <w:sz w:val="18"/>
                <w:szCs w:val="18"/>
              </w:rPr>
            </w:pPr>
            <w:r w:rsidRPr="004A1DDC">
              <w:rPr>
                <w:rFonts w:cs="Times New Roman"/>
                <w:sz w:val="18"/>
                <w:szCs w:val="18"/>
              </w:rPr>
              <w:t>PD5</w:t>
            </w:r>
            <w:r w:rsidR="000F088E">
              <w:rPr>
                <w:rFonts w:cs="Times New Roman"/>
                <w:sz w:val="18"/>
                <w:szCs w:val="18"/>
              </w:rPr>
              <w:t>:</w:t>
            </w:r>
            <w:r w:rsidRPr="004A1DDC">
              <w:rPr>
                <w:rFonts w:cs="Times New Roman"/>
                <w:sz w:val="18"/>
                <w:szCs w:val="18"/>
              </w:rPr>
              <w:t xml:space="preserve"> Research and Applications – </w:t>
            </w:r>
            <w:r w:rsidR="002435C7" w:rsidRPr="004A1DDC">
              <w:rPr>
                <w:rFonts w:cs="Times New Roman"/>
                <w:sz w:val="18"/>
                <w:szCs w:val="18"/>
              </w:rPr>
              <w:t xml:space="preserve">How to Bridge the Widening Gap? </w:t>
            </w:r>
          </w:p>
        </w:tc>
        <w:tc>
          <w:tcPr>
            <w:tcW w:w="1181" w:type="dxa"/>
            <w:gridSpan w:val="2"/>
            <w:vMerge/>
            <w:shd w:val="clear" w:color="auto" w:fill="FDE9D9" w:themeFill="accent6" w:themeFillTint="33"/>
          </w:tcPr>
          <w:p w:rsidR="00316600" w:rsidRPr="004A1DDC" w:rsidRDefault="00316600" w:rsidP="009B0E7A">
            <w:pPr>
              <w:rPr>
                <w:rFonts w:cs="Times New Roman"/>
                <w:sz w:val="18"/>
                <w:szCs w:val="18"/>
              </w:rPr>
            </w:pP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2DBDB" w:themeFill="accent2" w:themeFillTint="33"/>
          </w:tcPr>
          <w:p w:rsidR="00316600" w:rsidRPr="004A1DDC" w:rsidRDefault="00316600" w:rsidP="009B0E7A">
            <w:pPr>
              <w:rPr>
                <w:rFonts w:cs="Times New Roman"/>
                <w:sz w:val="18"/>
                <w:szCs w:val="18"/>
              </w:rPr>
            </w:pPr>
            <w:r w:rsidRPr="004A1DDC">
              <w:rPr>
                <w:rFonts w:cs="Times New Roman"/>
                <w:sz w:val="18"/>
                <w:szCs w:val="18"/>
              </w:rPr>
              <w:t xml:space="preserve">BS9 : Industrial </w:t>
            </w:r>
            <w:r w:rsidR="000C447D" w:rsidRPr="004A1DDC">
              <w:rPr>
                <w:rFonts w:cs="Times New Roman"/>
                <w:sz w:val="18"/>
                <w:szCs w:val="18"/>
              </w:rPr>
              <w:t>Risks Related to Water</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FF00"/>
          </w:tcPr>
          <w:p w:rsidR="00316600" w:rsidRPr="004A1DDC" w:rsidRDefault="0023194F" w:rsidP="005F66FE">
            <w:pPr>
              <w:rPr>
                <w:rFonts w:cs="Times New Roman"/>
                <w:sz w:val="18"/>
                <w:szCs w:val="18"/>
              </w:rPr>
            </w:pPr>
            <w:r w:rsidRPr="004A1DDC">
              <w:rPr>
                <w:rFonts w:cs="Times New Roman"/>
                <w:sz w:val="18"/>
                <w:szCs w:val="18"/>
              </w:rPr>
              <w:t xml:space="preserve">PD 13: Imperatives for </w:t>
            </w:r>
            <w:r w:rsidR="000C447D" w:rsidRPr="004A1DDC">
              <w:rPr>
                <w:rFonts w:cs="Times New Roman"/>
                <w:sz w:val="18"/>
                <w:szCs w:val="18"/>
              </w:rPr>
              <w:t>Urban Wastewater PPPs</w:t>
            </w:r>
            <w:r w:rsidR="000C447D">
              <w:rPr>
                <w:rFonts w:cs="Times New Roman"/>
                <w:sz w:val="18"/>
                <w:szCs w:val="18"/>
              </w:rPr>
              <w:t xml:space="preserve"> </w:t>
            </w:r>
            <w:r w:rsidR="000C447D" w:rsidRPr="004A1DDC">
              <w:rPr>
                <w:rFonts w:cs="Times New Roman"/>
                <w:sz w:val="18"/>
                <w:szCs w:val="18"/>
              </w:rPr>
              <w:t xml:space="preserve">- </w:t>
            </w:r>
            <w:r w:rsidR="004C3B85" w:rsidRPr="004A1DDC">
              <w:rPr>
                <w:rFonts w:cs="Times New Roman"/>
                <w:sz w:val="18"/>
                <w:szCs w:val="18"/>
              </w:rPr>
              <w:t xml:space="preserve">Towards </w:t>
            </w:r>
            <w:r w:rsidR="000C447D" w:rsidRPr="004A1DDC">
              <w:rPr>
                <w:rFonts w:cs="Times New Roman"/>
                <w:sz w:val="18"/>
                <w:szCs w:val="18"/>
              </w:rPr>
              <w:t>a Viable Business Model for Municipal Sewage Treatment</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IV</w:t>
            </w:r>
          </w:p>
        </w:tc>
        <w:tc>
          <w:tcPr>
            <w:tcW w:w="3992" w:type="dxa"/>
            <w:gridSpan w:val="3"/>
            <w:shd w:val="clear" w:color="auto" w:fill="F2DBDB" w:themeFill="accent2" w:themeFillTint="33"/>
          </w:tcPr>
          <w:p w:rsidR="00316600" w:rsidRPr="004A1DDC" w:rsidRDefault="00316600" w:rsidP="005F66FE">
            <w:pPr>
              <w:rPr>
                <w:rFonts w:cs="Times New Roman"/>
                <w:sz w:val="18"/>
                <w:szCs w:val="18"/>
              </w:rPr>
            </w:pPr>
            <w:r w:rsidRPr="004A1DDC">
              <w:rPr>
                <w:rFonts w:cs="Times New Roman"/>
                <w:sz w:val="18"/>
                <w:szCs w:val="18"/>
              </w:rPr>
              <w:t>BS4: Institutional Mechanism for Sustainable Water Management</w:t>
            </w:r>
            <w:r>
              <w:rPr>
                <w:rFonts w:cs="Times New Roman"/>
                <w:sz w:val="18"/>
                <w:szCs w:val="18"/>
              </w:rPr>
              <w:t xml:space="preserve"> </w:t>
            </w:r>
          </w:p>
        </w:tc>
        <w:tc>
          <w:tcPr>
            <w:tcW w:w="1181" w:type="dxa"/>
            <w:gridSpan w:val="2"/>
            <w:vMerge/>
            <w:shd w:val="clear" w:color="auto" w:fill="FDE9D9" w:themeFill="accent6" w:themeFillTint="33"/>
          </w:tcPr>
          <w:p w:rsidR="00316600" w:rsidRPr="004A1DDC" w:rsidRDefault="00316600" w:rsidP="009B0E7A">
            <w:pPr>
              <w:rPr>
                <w:rFonts w:cs="Times New Roman"/>
                <w:sz w:val="18"/>
                <w:szCs w:val="18"/>
              </w:rPr>
            </w:pP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2DBDB" w:themeFill="accent2" w:themeFillTint="33"/>
          </w:tcPr>
          <w:p w:rsidR="00316600" w:rsidRPr="004A1DDC" w:rsidRDefault="00316600" w:rsidP="009B0E7A">
            <w:pPr>
              <w:rPr>
                <w:rFonts w:cs="Times New Roman"/>
                <w:b/>
                <w:sz w:val="18"/>
                <w:szCs w:val="18"/>
              </w:rPr>
            </w:pPr>
            <w:r w:rsidRPr="004A1DDC">
              <w:rPr>
                <w:rFonts w:cs="Times New Roman"/>
                <w:sz w:val="18"/>
                <w:szCs w:val="18"/>
              </w:rPr>
              <w:t xml:space="preserve">BS8: Irrigation Water Use Efficiency – Way </w:t>
            </w:r>
            <w:r w:rsidR="000C447D" w:rsidRPr="004A1DDC">
              <w:rPr>
                <w:rFonts w:cs="Times New Roman"/>
                <w:sz w:val="18"/>
                <w:szCs w:val="18"/>
              </w:rPr>
              <w:t>Forward</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2DBDB" w:themeFill="accent2" w:themeFillTint="33"/>
          </w:tcPr>
          <w:p w:rsidR="00316600" w:rsidRPr="004A1DDC" w:rsidRDefault="001D75FC" w:rsidP="009B0E7A">
            <w:pPr>
              <w:rPr>
                <w:rFonts w:cs="Times New Roman"/>
                <w:b/>
                <w:sz w:val="18"/>
                <w:szCs w:val="18"/>
              </w:rPr>
            </w:pPr>
            <w:r w:rsidRPr="004A1DDC">
              <w:rPr>
                <w:rFonts w:cs="Times New Roman"/>
                <w:sz w:val="18"/>
                <w:szCs w:val="18"/>
              </w:rPr>
              <w:t>BS7: Role of Storages in Sustaining the Water Security to Meet National Demands</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V</w:t>
            </w:r>
          </w:p>
        </w:tc>
        <w:tc>
          <w:tcPr>
            <w:tcW w:w="3992" w:type="dxa"/>
            <w:gridSpan w:val="3"/>
            <w:shd w:val="clear" w:color="auto" w:fill="548DD4" w:themeFill="text2" w:themeFillTint="99"/>
          </w:tcPr>
          <w:p w:rsidR="00316600" w:rsidRPr="004A1DDC" w:rsidRDefault="00316600" w:rsidP="009B0E7A">
            <w:pPr>
              <w:rPr>
                <w:rFonts w:cs="Times New Roman"/>
                <w:sz w:val="18"/>
                <w:szCs w:val="18"/>
              </w:rPr>
            </w:pPr>
            <w:r w:rsidRPr="004A1DDC">
              <w:rPr>
                <w:rFonts w:cs="Times New Roman"/>
                <w:sz w:val="18"/>
                <w:szCs w:val="18"/>
              </w:rPr>
              <w:t xml:space="preserve">TP2: Ganga Aquifer Management for Eco-system </w:t>
            </w:r>
            <w:r w:rsidR="002435C7" w:rsidRPr="004A1DDC">
              <w:rPr>
                <w:rFonts w:cs="Times New Roman"/>
                <w:sz w:val="18"/>
                <w:szCs w:val="18"/>
              </w:rPr>
              <w:t xml:space="preserve">Services </w:t>
            </w:r>
            <w:r w:rsidRPr="004A1DDC">
              <w:rPr>
                <w:rFonts w:cs="Times New Roman"/>
                <w:sz w:val="18"/>
                <w:szCs w:val="18"/>
              </w:rPr>
              <w:t>(GAMES)</w:t>
            </w:r>
          </w:p>
        </w:tc>
        <w:tc>
          <w:tcPr>
            <w:tcW w:w="1181" w:type="dxa"/>
            <w:gridSpan w:val="2"/>
            <w:vMerge/>
            <w:shd w:val="clear" w:color="auto" w:fill="FDE9D9" w:themeFill="accent6" w:themeFillTint="33"/>
          </w:tcPr>
          <w:p w:rsidR="00316600" w:rsidRPr="004A1DDC" w:rsidRDefault="00316600" w:rsidP="009B0E7A">
            <w:pPr>
              <w:rPr>
                <w:rFonts w:cs="Times New Roman"/>
                <w:sz w:val="18"/>
                <w:szCs w:val="18"/>
              </w:rPr>
            </w:pP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FF" w:themeFill="background1"/>
          </w:tcPr>
          <w:p w:rsidR="00316600" w:rsidRPr="004A1DDC" w:rsidRDefault="00316600" w:rsidP="009B0E7A">
            <w:pPr>
              <w:rPr>
                <w:rFonts w:cs="Times New Roman"/>
                <w:sz w:val="18"/>
                <w:szCs w:val="18"/>
              </w:rPr>
            </w:pP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FFFF" w:themeFill="background1"/>
          </w:tcPr>
          <w:p w:rsidR="00316600" w:rsidRPr="004A1DDC" w:rsidRDefault="00316600" w:rsidP="009B0E7A">
            <w:pPr>
              <w:rPr>
                <w:rFonts w:cs="Times New Roman"/>
                <w:sz w:val="18"/>
                <w:szCs w:val="18"/>
              </w:rPr>
            </w:pPr>
          </w:p>
        </w:tc>
      </w:tr>
      <w:tr w:rsidR="00316600" w:rsidRPr="004A1DDC" w:rsidTr="004C3B85">
        <w:tc>
          <w:tcPr>
            <w:tcW w:w="581" w:type="dxa"/>
            <w:vMerge w:val="restart"/>
          </w:tcPr>
          <w:p w:rsidR="00316600" w:rsidRPr="004A1DDC" w:rsidRDefault="00316600" w:rsidP="009B0E7A">
            <w:pPr>
              <w:jc w:val="center"/>
              <w:rPr>
                <w:rFonts w:cs="Times New Roman"/>
                <w:b/>
                <w:sz w:val="18"/>
                <w:szCs w:val="18"/>
              </w:rPr>
            </w:pPr>
            <w:r w:rsidRPr="004A1DDC">
              <w:rPr>
                <w:rFonts w:cs="Times New Roman"/>
                <w:b/>
                <w:sz w:val="18"/>
                <w:szCs w:val="18"/>
              </w:rPr>
              <w:t>Jan. 15, 2015</w:t>
            </w: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w:t>
            </w:r>
          </w:p>
        </w:tc>
        <w:tc>
          <w:tcPr>
            <w:tcW w:w="5173" w:type="dxa"/>
            <w:gridSpan w:val="5"/>
            <w:shd w:val="clear" w:color="auto" w:fill="FFC000"/>
          </w:tcPr>
          <w:p w:rsidR="00316600" w:rsidRPr="004A1DDC" w:rsidRDefault="00316600" w:rsidP="005F66FE">
            <w:pPr>
              <w:rPr>
                <w:rFonts w:cs="Times New Roman"/>
                <w:sz w:val="18"/>
                <w:szCs w:val="18"/>
              </w:rPr>
            </w:pPr>
            <w:r w:rsidRPr="004A1DDC">
              <w:rPr>
                <w:rFonts w:cs="Times New Roman"/>
                <w:sz w:val="18"/>
                <w:szCs w:val="18"/>
              </w:rPr>
              <w:t>S4</w:t>
            </w:r>
            <w:r>
              <w:rPr>
                <w:rFonts w:cs="Times New Roman"/>
                <w:sz w:val="18"/>
                <w:szCs w:val="18"/>
              </w:rPr>
              <w:t>:</w:t>
            </w:r>
            <w:r w:rsidRPr="004A1DDC">
              <w:rPr>
                <w:rFonts w:cs="Times New Roman"/>
                <w:sz w:val="18"/>
                <w:szCs w:val="18"/>
              </w:rPr>
              <w:t xml:space="preserve"> Impact </w:t>
            </w:r>
            <w:r w:rsidR="002435C7" w:rsidRPr="004A1DDC">
              <w:rPr>
                <w:rFonts w:cs="Times New Roman"/>
                <w:sz w:val="18"/>
                <w:szCs w:val="18"/>
              </w:rPr>
              <w:t>of Climate Change on Water Resources with Special Reference to Agriculture Water Needs</w:t>
            </w:r>
            <w:r w:rsidR="002435C7">
              <w:rPr>
                <w:rFonts w:cs="Times New Roman"/>
                <w:sz w:val="18"/>
                <w:szCs w:val="18"/>
              </w:rPr>
              <w:t xml:space="preserve">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C000"/>
          </w:tcPr>
          <w:p w:rsidR="00316600" w:rsidRPr="004A1DDC" w:rsidRDefault="00316600" w:rsidP="005F66FE">
            <w:pPr>
              <w:rPr>
                <w:rFonts w:cs="Times New Roman"/>
                <w:b/>
                <w:sz w:val="18"/>
                <w:szCs w:val="18"/>
              </w:rPr>
            </w:pPr>
            <w:r w:rsidRPr="004A1DDC">
              <w:rPr>
                <w:rFonts w:cs="Times New Roman"/>
                <w:sz w:val="18"/>
                <w:szCs w:val="18"/>
              </w:rPr>
              <w:t>S1: Rivers and Health of the Society</w:t>
            </w:r>
            <w:r>
              <w:rPr>
                <w:rFonts w:cs="Times New Roman"/>
                <w:sz w:val="18"/>
                <w:szCs w:val="18"/>
              </w:rPr>
              <w:t xml:space="preserve"> </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C000"/>
          </w:tcPr>
          <w:p w:rsidR="00316600" w:rsidRPr="004A1DDC" w:rsidRDefault="00316600" w:rsidP="005F66FE">
            <w:pPr>
              <w:rPr>
                <w:rFonts w:cs="Times New Roman"/>
                <w:sz w:val="18"/>
                <w:szCs w:val="18"/>
              </w:rPr>
            </w:pPr>
            <w:r w:rsidRPr="004A1DDC">
              <w:rPr>
                <w:rFonts w:cs="Times New Roman"/>
                <w:sz w:val="18"/>
                <w:szCs w:val="18"/>
              </w:rPr>
              <w:t>S14: Sustainable Planning and Design of Hydro-power Projects</w:t>
            </w:r>
            <w:r>
              <w:rPr>
                <w:rFonts w:cs="Times New Roman"/>
                <w:sz w:val="18"/>
                <w:szCs w:val="18"/>
              </w:rPr>
              <w:t xml:space="preserve"> </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II</w:t>
            </w:r>
          </w:p>
        </w:tc>
        <w:tc>
          <w:tcPr>
            <w:tcW w:w="5173" w:type="dxa"/>
            <w:gridSpan w:val="5"/>
            <w:shd w:val="clear" w:color="auto" w:fill="92D050"/>
          </w:tcPr>
          <w:p w:rsidR="00316600" w:rsidRPr="004A1DDC" w:rsidRDefault="00316600" w:rsidP="009B0E7A">
            <w:pPr>
              <w:rPr>
                <w:rFonts w:cs="Times New Roman"/>
                <w:sz w:val="18"/>
                <w:szCs w:val="18"/>
              </w:rPr>
            </w:pPr>
            <w:r w:rsidRPr="004A1DDC">
              <w:rPr>
                <w:rFonts w:cs="Times New Roman"/>
                <w:sz w:val="18"/>
                <w:szCs w:val="18"/>
              </w:rPr>
              <w:t xml:space="preserve"> SE1: GWP South Asia and SAARC Regional Day from Risk to Resilience</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92D050"/>
          </w:tcPr>
          <w:p w:rsidR="00316600" w:rsidRPr="004A1DDC" w:rsidRDefault="00316600" w:rsidP="009B0E7A">
            <w:pPr>
              <w:rPr>
                <w:rFonts w:cs="Times New Roman"/>
                <w:sz w:val="18"/>
                <w:szCs w:val="18"/>
              </w:rPr>
            </w:pPr>
            <w:r w:rsidRPr="004A1DDC">
              <w:rPr>
                <w:rFonts w:cs="Times New Roman"/>
                <w:sz w:val="18"/>
                <w:szCs w:val="18"/>
              </w:rPr>
              <w:t>SE1: GWP South Asia and SAARC Regional Day from Risk to Resilience</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92D050"/>
          </w:tcPr>
          <w:p w:rsidR="00316600" w:rsidRPr="004A1DDC" w:rsidRDefault="00316600" w:rsidP="009B0E7A">
            <w:pPr>
              <w:rPr>
                <w:rFonts w:cs="Times New Roman"/>
                <w:sz w:val="18"/>
                <w:szCs w:val="18"/>
              </w:rPr>
            </w:pPr>
            <w:r w:rsidRPr="004A1DDC">
              <w:rPr>
                <w:rFonts w:cs="Times New Roman"/>
                <w:sz w:val="18"/>
                <w:szCs w:val="18"/>
              </w:rPr>
              <w:t>SE1: GWP South Asia and SAARC Regional Day from Risk to Resilience</w:t>
            </w:r>
          </w:p>
        </w:tc>
      </w:tr>
      <w:tr w:rsidR="00316600" w:rsidRPr="004A1DDC" w:rsidTr="002A58EA">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III</w:t>
            </w:r>
          </w:p>
        </w:tc>
        <w:tc>
          <w:tcPr>
            <w:tcW w:w="5173" w:type="dxa"/>
            <w:gridSpan w:val="5"/>
            <w:shd w:val="clear" w:color="auto" w:fill="F2DBDB" w:themeFill="accent2" w:themeFillTint="33"/>
          </w:tcPr>
          <w:p w:rsidR="00316600" w:rsidRPr="004A1DDC" w:rsidRDefault="00316600" w:rsidP="009B0E7A">
            <w:pPr>
              <w:rPr>
                <w:rFonts w:cs="Times New Roman"/>
                <w:b/>
                <w:sz w:val="18"/>
                <w:szCs w:val="18"/>
              </w:rPr>
            </w:pPr>
            <w:r w:rsidRPr="004A1DDC">
              <w:rPr>
                <w:rFonts w:cs="Times New Roman"/>
                <w:sz w:val="18"/>
                <w:szCs w:val="18"/>
              </w:rPr>
              <w:t>BS3: Water Market – Critical Review and Way Forward</w:t>
            </w:r>
            <w:r>
              <w:rPr>
                <w:rFonts w:cs="Times New Roman"/>
                <w:sz w:val="18"/>
                <w:szCs w:val="18"/>
              </w:rPr>
              <w:t xml:space="preserve">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00"/>
          </w:tcPr>
          <w:p w:rsidR="00316600" w:rsidRPr="004A1DDC" w:rsidRDefault="00316600" w:rsidP="005F66FE">
            <w:pPr>
              <w:rPr>
                <w:rFonts w:cs="Times New Roman"/>
                <w:sz w:val="18"/>
                <w:szCs w:val="18"/>
              </w:rPr>
            </w:pPr>
            <w:r w:rsidRPr="004A1DDC">
              <w:rPr>
                <w:rFonts w:cs="Times New Roman"/>
                <w:sz w:val="18"/>
                <w:szCs w:val="18"/>
              </w:rPr>
              <w:t>PD7: River Basin Organization – Is it Useful Tool for Sustainable and Efficient Management?</w:t>
            </w:r>
            <w:r>
              <w:rPr>
                <w:rFonts w:cs="Times New Roman"/>
                <w:sz w:val="18"/>
                <w:szCs w:val="18"/>
              </w:rPr>
              <w:t xml:space="preserve"> </w:t>
            </w:r>
            <w:r>
              <w:rPr>
                <w:rFonts w:cs="Times New Roman"/>
                <w:b/>
                <w:sz w:val="18"/>
                <w:szCs w:val="18"/>
              </w:rPr>
              <w:t xml:space="preserve"> </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auto"/>
          </w:tcPr>
          <w:p w:rsidR="00316600" w:rsidRPr="004A1DDC" w:rsidRDefault="00316600" w:rsidP="004C3B85">
            <w:pPr>
              <w:rPr>
                <w:rFonts w:cs="Times New Roman"/>
                <w:sz w:val="18"/>
                <w:szCs w:val="18"/>
              </w:rPr>
            </w:pP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IV</w:t>
            </w:r>
          </w:p>
        </w:tc>
        <w:tc>
          <w:tcPr>
            <w:tcW w:w="5173" w:type="dxa"/>
            <w:gridSpan w:val="5"/>
            <w:shd w:val="clear" w:color="auto" w:fill="FFFF00"/>
          </w:tcPr>
          <w:p w:rsidR="00316600" w:rsidRPr="004A1DDC" w:rsidRDefault="00316600" w:rsidP="009B0E7A">
            <w:pPr>
              <w:rPr>
                <w:rFonts w:cs="Times New Roman"/>
                <w:sz w:val="18"/>
                <w:szCs w:val="18"/>
              </w:rPr>
            </w:pPr>
            <w:r w:rsidRPr="004A1DDC">
              <w:rPr>
                <w:rFonts w:cs="Times New Roman"/>
                <w:sz w:val="18"/>
                <w:szCs w:val="18"/>
              </w:rPr>
              <w:t xml:space="preserve">PD1: Rejuvenation of Rivers </w:t>
            </w:r>
          </w:p>
          <w:p w:rsidR="00316600" w:rsidRPr="004A1DDC" w:rsidRDefault="00316600" w:rsidP="009B0E7A">
            <w:pPr>
              <w:rPr>
                <w:rFonts w:cs="Times New Roman"/>
                <w:sz w:val="18"/>
                <w:szCs w:val="18"/>
              </w:rPr>
            </w:pP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00"/>
          </w:tcPr>
          <w:p w:rsidR="00316600" w:rsidRPr="004A1DDC" w:rsidRDefault="00316600" w:rsidP="005F66FE">
            <w:pPr>
              <w:rPr>
                <w:rFonts w:cs="Times New Roman"/>
                <w:sz w:val="18"/>
                <w:szCs w:val="18"/>
              </w:rPr>
            </w:pPr>
            <w:r w:rsidRPr="004A1DDC">
              <w:rPr>
                <w:rFonts w:cs="Times New Roman"/>
                <w:sz w:val="18"/>
                <w:szCs w:val="18"/>
              </w:rPr>
              <w:t xml:space="preserve">PD11: Quality of Power and Beneficial Role of Hydro-power </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FF00"/>
          </w:tcPr>
          <w:p w:rsidR="00316600" w:rsidRPr="004A1DDC" w:rsidRDefault="00316600" w:rsidP="005F66FE">
            <w:pPr>
              <w:rPr>
                <w:rFonts w:cs="Times New Roman"/>
                <w:sz w:val="18"/>
                <w:szCs w:val="18"/>
              </w:rPr>
            </w:pPr>
            <w:r w:rsidRPr="004A1DDC">
              <w:rPr>
                <w:rFonts w:cs="Times New Roman"/>
                <w:sz w:val="18"/>
                <w:szCs w:val="18"/>
              </w:rPr>
              <w:t>PD9: Legal Framework for Sustainable Water Management</w:t>
            </w:r>
            <w:r>
              <w:rPr>
                <w:rFonts w:cs="Times New Roman"/>
                <w:sz w:val="18"/>
                <w:szCs w:val="18"/>
              </w:rPr>
              <w:t xml:space="preserve"> </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V</w:t>
            </w:r>
          </w:p>
        </w:tc>
        <w:tc>
          <w:tcPr>
            <w:tcW w:w="5173" w:type="dxa"/>
            <w:gridSpan w:val="5"/>
            <w:shd w:val="clear" w:color="auto" w:fill="548DD4" w:themeFill="text2" w:themeFillTint="99"/>
          </w:tcPr>
          <w:p w:rsidR="00316600" w:rsidRPr="004A1DDC" w:rsidRDefault="00316600" w:rsidP="009B0E7A">
            <w:pPr>
              <w:rPr>
                <w:rFonts w:cs="Times New Roman"/>
                <w:sz w:val="18"/>
                <w:szCs w:val="18"/>
              </w:rPr>
            </w:pPr>
            <w:r w:rsidRPr="004A1DDC">
              <w:rPr>
                <w:rFonts w:cs="Times New Roman"/>
                <w:sz w:val="18"/>
                <w:szCs w:val="18"/>
              </w:rPr>
              <w:t>TP3: Workshop on WASH</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FF" w:themeFill="background1"/>
          </w:tcPr>
          <w:p w:rsidR="00316600" w:rsidRPr="004A1DDC" w:rsidRDefault="00316600" w:rsidP="009B0E7A">
            <w:pPr>
              <w:rPr>
                <w:rFonts w:cs="Times New Roman"/>
                <w:sz w:val="18"/>
                <w:szCs w:val="18"/>
              </w:rPr>
            </w:pP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FFFF" w:themeFill="background1"/>
          </w:tcPr>
          <w:p w:rsidR="00316600" w:rsidRPr="004A1DDC" w:rsidRDefault="00316600" w:rsidP="009B0E7A">
            <w:pPr>
              <w:rPr>
                <w:rFonts w:cs="Times New Roman"/>
                <w:sz w:val="18"/>
                <w:szCs w:val="18"/>
              </w:rPr>
            </w:pPr>
          </w:p>
        </w:tc>
      </w:tr>
      <w:tr w:rsidR="00316600" w:rsidRPr="004A1DDC" w:rsidTr="004C3B85">
        <w:tc>
          <w:tcPr>
            <w:tcW w:w="581" w:type="dxa"/>
            <w:vMerge w:val="restart"/>
          </w:tcPr>
          <w:p w:rsidR="00316600" w:rsidRPr="004A1DDC" w:rsidRDefault="00316600" w:rsidP="009B0E7A">
            <w:pPr>
              <w:jc w:val="center"/>
              <w:rPr>
                <w:rFonts w:cs="Times New Roman"/>
                <w:b/>
                <w:sz w:val="18"/>
                <w:szCs w:val="18"/>
              </w:rPr>
            </w:pPr>
            <w:r w:rsidRPr="004A1DDC">
              <w:rPr>
                <w:rFonts w:cs="Times New Roman"/>
                <w:b/>
                <w:sz w:val="18"/>
                <w:szCs w:val="18"/>
              </w:rPr>
              <w:t>Jan. 16, 2015</w:t>
            </w: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w:t>
            </w:r>
          </w:p>
        </w:tc>
        <w:tc>
          <w:tcPr>
            <w:tcW w:w="5173" w:type="dxa"/>
            <w:gridSpan w:val="5"/>
            <w:shd w:val="clear" w:color="auto" w:fill="FFC000"/>
          </w:tcPr>
          <w:p w:rsidR="00316600" w:rsidRPr="004A1DDC" w:rsidRDefault="00316600" w:rsidP="005F66FE">
            <w:pPr>
              <w:rPr>
                <w:rFonts w:cs="Times New Roman"/>
                <w:b/>
                <w:sz w:val="18"/>
                <w:szCs w:val="18"/>
              </w:rPr>
            </w:pPr>
            <w:r w:rsidRPr="004A1DDC">
              <w:rPr>
                <w:rFonts w:cs="Times New Roman"/>
                <w:sz w:val="18"/>
                <w:szCs w:val="18"/>
              </w:rPr>
              <w:t>S9: Desalination – Scope, Techniques, Technology and Challenges</w:t>
            </w:r>
            <w:r>
              <w:rPr>
                <w:rFonts w:cs="Times New Roman"/>
                <w:sz w:val="18"/>
                <w:szCs w:val="18"/>
              </w:rPr>
              <w:t xml:space="preserve">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C000"/>
          </w:tcPr>
          <w:p w:rsidR="00316600" w:rsidRPr="004A1DDC" w:rsidRDefault="00316600" w:rsidP="009B0E7A">
            <w:pPr>
              <w:rPr>
                <w:rFonts w:cs="Times New Roman"/>
                <w:sz w:val="18"/>
                <w:szCs w:val="18"/>
              </w:rPr>
            </w:pPr>
            <w:r w:rsidRPr="004A1DDC">
              <w:rPr>
                <w:rFonts w:cs="Times New Roman"/>
                <w:sz w:val="18"/>
                <w:szCs w:val="18"/>
              </w:rPr>
              <w:t xml:space="preserve">S2: Ethical Values in Water Resources Development and Management </w:t>
            </w:r>
            <w:r>
              <w:rPr>
                <w:rFonts w:cs="Times New Roman"/>
                <w:b/>
                <w:sz w:val="18"/>
                <w:szCs w:val="18"/>
              </w:rPr>
              <w:t xml:space="preserve"> </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C000"/>
          </w:tcPr>
          <w:p w:rsidR="00316600" w:rsidRPr="004A1DDC" w:rsidRDefault="00316600" w:rsidP="005F66FE">
            <w:pPr>
              <w:rPr>
                <w:rFonts w:cs="Times New Roman"/>
                <w:sz w:val="18"/>
                <w:szCs w:val="18"/>
              </w:rPr>
            </w:pPr>
            <w:r w:rsidRPr="004A1DDC">
              <w:rPr>
                <w:rFonts w:cs="Times New Roman"/>
                <w:sz w:val="18"/>
                <w:szCs w:val="18"/>
              </w:rPr>
              <w:t xml:space="preserve">S10: Ground Water Management – Issues and Challenges </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II</w:t>
            </w:r>
          </w:p>
        </w:tc>
        <w:tc>
          <w:tcPr>
            <w:tcW w:w="5173" w:type="dxa"/>
            <w:gridSpan w:val="5"/>
            <w:shd w:val="clear" w:color="auto" w:fill="FFC000"/>
          </w:tcPr>
          <w:p w:rsidR="00316600" w:rsidRPr="004A1DDC" w:rsidRDefault="00316600" w:rsidP="009B0E7A">
            <w:pPr>
              <w:rPr>
                <w:rFonts w:cs="Times New Roman"/>
                <w:sz w:val="18"/>
                <w:szCs w:val="18"/>
              </w:rPr>
            </w:pPr>
            <w:r w:rsidRPr="004A1DDC">
              <w:rPr>
                <w:rFonts w:cs="Times New Roman"/>
                <w:sz w:val="18"/>
                <w:szCs w:val="18"/>
              </w:rPr>
              <w:t xml:space="preserve">S6: Sanitation Issues of Urban, </w:t>
            </w:r>
            <w:proofErr w:type="spellStart"/>
            <w:r w:rsidRPr="004A1DDC">
              <w:rPr>
                <w:rFonts w:cs="Times New Roman"/>
                <w:sz w:val="18"/>
                <w:szCs w:val="18"/>
              </w:rPr>
              <w:t>Peri</w:t>
            </w:r>
            <w:proofErr w:type="spellEnd"/>
            <w:r w:rsidRPr="004A1DDC">
              <w:rPr>
                <w:rFonts w:cs="Times New Roman"/>
                <w:sz w:val="18"/>
                <w:szCs w:val="18"/>
              </w:rPr>
              <w:t>-urban and Rural Areas</w:t>
            </w:r>
            <w:r>
              <w:rPr>
                <w:rFonts w:cs="Times New Roman"/>
                <w:sz w:val="18"/>
                <w:szCs w:val="18"/>
              </w:rPr>
              <w:t xml:space="preserve">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00"/>
          </w:tcPr>
          <w:p w:rsidR="00316600" w:rsidRPr="004A1DDC" w:rsidRDefault="00316600" w:rsidP="005F66FE">
            <w:pPr>
              <w:rPr>
                <w:rFonts w:cs="Times New Roman"/>
                <w:sz w:val="18"/>
                <w:szCs w:val="18"/>
              </w:rPr>
            </w:pPr>
            <w:r w:rsidRPr="004A1DDC">
              <w:rPr>
                <w:rFonts w:cs="Times New Roman"/>
                <w:sz w:val="18"/>
                <w:szCs w:val="18"/>
              </w:rPr>
              <w:t>PD6: Capacity Building and Manpower Needs of Water Sector</w:t>
            </w:r>
            <w:r>
              <w:rPr>
                <w:rFonts w:cs="Times New Roman"/>
                <w:sz w:val="18"/>
                <w:szCs w:val="18"/>
              </w:rPr>
              <w:t xml:space="preserve"> </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DE9D9" w:themeFill="accent6" w:themeFillTint="33"/>
          </w:tcPr>
          <w:p w:rsidR="00316600" w:rsidRPr="004A1DDC" w:rsidRDefault="00316600" w:rsidP="005F66FE">
            <w:pPr>
              <w:rPr>
                <w:rFonts w:cs="Times New Roman"/>
                <w:sz w:val="18"/>
                <w:szCs w:val="18"/>
              </w:rPr>
            </w:pPr>
            <w:r w:rsidRPr="004A1DDC">
              <w:rPr>
                <w:rFonts w:cs="Times New Roman"/>
                <w:sz w:val="18"/>
                <w:szCs w:val="18"/>
              </w:rPr>
              <w:t>CS2: Water Users’ Associations – Success Story or Myth?</w:t>
            </w:r>
            <w:r>
              <w:rPr>
                <w:rFonts w:cs="Times New Roman"/>
                <w:sz w:val="18"/>
                <w:szCs w:val="18"/>
              </w:rPr>
              <w:t xml:space="preserve"> </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III</w:t>
            </w:r>
          </w:p>
        </w:tc>
        <w:tc>
          <w:tcPr>
            <w:tcW w:w="5173" w:type="dxa"/>
            <w:gridSpan w:val="5"/>
            <w:shd w:val="clear" w:color="auto" w:fill="FDE9D9" w:themeFill="accent6" w:themeFillTint="33"/>
          </w:tcPr>
          <w:p w:rsidR="00316600" w:rsidRPr="004A1DDC" w:rsidRDefault="00316600" w:rsidP="009B0E7A">
            <w:pPr>
              <w:rPr>
                <w:rFonts w:cs="Times New Roman"/>
                <w:sz w:val="18"/>
                <w:szCs w:val="18"/>
              </w:rPr>
            </w:pPr>
            <w:r w:rsidRPr="004A1DDC">
              <w:rPr>
                <w:rFonts w:cs="Times New Roman"/>
                <w:sz w:val="18"/>
                <w:szCs w:val="18"/>
              </w:rPr>
              <w:t xml:space="preserve">CS1: Micro Irrigation – A Success Story </w:t>
            </w:r>
          </w:p>
          <w:p w:rsidR="00316600" w:rsidRPr="004A1DDC" w:rsidRDefault="00316600" w:rsidP="009B0E7A">
            <w:pPr>
              <w:rPr>
                <w:rFonts w:cs="Times New Roman"/>
                <w:sz w:val="18"/>
                <w:szCs w:val="18"/>
              </w:rPr>
            </w:pPr>
          </w:p>
          <w:p w:rsidR="00316600" w:rsidRPr="004A1DDC" w:rsidRDefault="00316600" w:rsidP="009B0E7A">
            <w:pPr>
              <w:rPr>
                <w:rFonts w:cs="Times New Roman"/>
                <w:sz w:val="18"/>
                <w:szCs w:val="18"/>
              </w:rPr>
            </w:pP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00"/>
          </w:tcPr>
          <w:p w:rsidR="00316600" w:rsidRPr="004A1DDC" w:rsidRDefault="00316600" w:rsidP="009B0E7A">
            <w:pPr>
              <w:rPr>
                <w:rFonts w:cs="Times New Roman"/>
                <w:sz w:val="18"/>
                <w:szCs w:val="18"/>
              </w:rPr>
            </w:pPr>
            <w:r w:rsidRPr="004A1DDC">
              <w:rPr>
                <w:rFonts w:cs="Times New Roman"/>
                <w:sz w:val="18"/>
                <w:szCs w:val="18"/>
              </w:rPr>
              <w:t xml:space="preserve">PD2: Ever Changing Water Use – Challenges for </w:t>
            </w:r>
            <w:r w:rsidR="000C447D" w:rsidRPr="004A1DDC">
              <w:rPr>
                <w:rFonts w:cs="Times New Roman"/>
                <w:sz w:val="18"/>
                <w:szCs w:val="18"/>
              </w:rPr>
              <w:t xml:space="preserve">Planning and Management of </w:t>
            </w:r>
            <w:r w:rsidRPr="004A1DDC">
              <w:rPr>
                <w:rFonts w:cs="Times New Roman"/>
                <w:sz w:val="18"/>
                <w:szCs w:val="18"/>
              </w:rPr>
              <w:t xml:space="preserve">Scarce </w:t>
            </w:r>
            <w:r w:rsidR="000C447D" w:rsidRPr="004A1DDC">
              <w:rPr>
                <w:rFonts w:cs="Times New Roman"/>
                <w:sz w:val="18"/>
                <w:szCs w:val="18"/>
              </w:rPr>
              <w:t xml:space="preserve">Water </w:t>
            </w:r>
            <w:r w:rsidRPr="004A1DDC">
              <w:rPr>
                <w:rFonts w:cs="Times New Roman"/>
                <w:sz w:val="18"/>
                <w:szCs w:val="18"/>
              </w:rPr>
              <w:t>Resources</w:t>
            </w:r>
            <w:r>
              <w:rPr>
                <w:rFonts w:cs="Times New Roman"/>
                <w:sz w:val="18"/>
                <w:szCs w:val="18"/>
              </w:rPr>
              <w:t xml:space="preserve"> </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2DBDB" w:themeFill="accent2" w:themeFillTint="33"/>
          </w:tcPr>
          <w:p w:rsidR="00316600" w:rsidRPr="004A1DDC" w:rsidRDefault="00316600" w:rsidP="005F66FE">
            <w:pPr>
              <w:rPr>
                <w:rFonts w:cs="Times New Roman"/>
                <w:sz w:val="18"/>
                <w:szCs w:val="18"/>
              </w:rPr>
            </w:pPr>
            <w:r w:rsidRPr="004A1DDC">
              <w:rPr>
                <w:rFonts w:cs="Times New Roman"/>
                <w:sz w:val="18"/>
                <w:szCs w:val="18"/>
              </w:rPr>
              <w:t>BS-1: Conjunctive Use of Surface and Ground Water – Nowhere Close to Reality</w:t>
            </w:r>
            <w:r>
              <w:rPr>
                <w:rFonts w:cs="Times New Roman"/>
                <w:sz w:val="18"/>
                <w:szCs w:val="18"/>
              </w:rPr>
              <w:t xml:space="preserve"> </w:t>
            </w: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IV</w:t>
            </w:r>
          </w:p>
        </w:tc>
        <w:tc>
          <w:tcPr>
            <w:tcW w:w="5173" w:type="dxa"/>
            <w:gridSpan w:val="5"/>
            <w:shd w:val="clear" w:color="auto" w:fill="F2DBDB" w:themeFill="accent2" w:themeFillTint="33"/>
          </w:tcPr>
          <w:p w:rsidR="00316600" w:rsidRPr="004A1DDC" w:rsidRDefault="00316600" w:rsidP="005F66FE">
            <w:pPr>
              <w:rPr>
                <w:rFonts w:cs="Times New Roman"/>
                <w:sz w:val="18"/>
                <w:szCs w:val="18"/>
              </w:rPr>
            </w:pPr>
            <w:r w:rsidRPr="004A1DDC">
              <w:rPr>
                <w:rFonts w:cs="Times New Roman"/>
                <w:sz w:val="18"/>
                <w:szCs w:val="18"/>
              </w:rPr>
              <w:t xml:space="preserve">BS5: Generating Hydropower through Multipurpose Planning – Need of the Hour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2DBDB" w:themeFill="accent2" w:themeFillTint="33"/>
          </w:tcPr>
          <w:p w:rsidR="00316600" w:rsidRPr="004A1DDC" w:rsidRDefault="00316600" w:rsidP="005F66FE">
            <w:pPr>
              <w:rPr>
                <w:rFonts w:cs="Times New Roman"/>
                <w:sz w:val="18"/>
                <w:szCs w:val="18"/>
              </w:rPr>
            </w:pPr>
            <w:r w:rsidRPr="004A1DDC">
              <w:rPr>
                <w:rFonts w:cs="Times New Roman"/>
                <w:sz w:val="18"/>
                <w:szCs w:val="18"/>
              </w:rPr>
              <w:t xml:space="preserve">BS6: Environmental Flow from Hydro-power Projects – Criteria </w:t>
            </w: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FF00"/>
          </w:tcPr>
          <w:p w:rsidR="00316600" w:rsidRPr="004A1DDC" w:rsidRDefault="00316600" w:rsidP="005F66FE">
            <w:pPr>
              <w:rPr>
                <w:rFonts w:cs="Times New Roman"/>
                <w:sz w:val="18"/>
                <w:szCs w:val="18"/>
              </w:rPr>
            </w:pPr>
            <w:r w:rsidRPr="004A1DDC">
              <w:rPr>
                <w:rFonts w:cs="Times New Roman"/>
                <w:sz w:val="18"/>
                <w:szCs w:val="18"/>
              </w:rPr>
              <w:t xml:space="preserve">PD3: Textile Industries and Related Water Issues </w:t>
            </w:r>
            <w:r>
              <w:rPr>
                <w:rFonts w:cs="Times New Roman"/>
                <w:b/>
                <w:sz w:val="18"/>
                <w:szCs w:val="18"/>
              </w:rPr>
              <w:t xml:space="preserve"> </w:t>
            </w:r>
          </w:p>
        </w:tc>
      </w:tr>
      <w:tr w:rsidR="00316600" w:rsidRPr="004A1DDC" w:rsidTr="004C3B85">
        <w:tc>
          <w:tcPr>
            <w:tcW w:w="581" w:type="dxa"/>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V</w:t>
            </w:r>
          </w:p>
        </w:tc>
        <w:tc>
          <w:tcPr>
            <w:tcW w:w="5173" w:type="dxa"/>
            <w:gridSpan w:val="5"/>
            <w:shd w:val="clear" w:color="auto" w:fill="548DD4" w:themeFill="text2" w:themeFillTint="99"/>
          </w:tcPr>
          <w:p w:rsidR="00316600" w:rsidRPr="004A1DDC" w:rsidRDefault="00316600" w:rsidP="009B0E7A">
            <w:pPr>
              <w:rPr>
                <w:rFonts w:cs="Times New Roman"/>
                <w:sz w:val="18"/>
                <w:szCs w:val="18"/>
              </w:rPr>
            </w:pPr>
            <w:r w:rsidRPr="004A1DDC">
              <w:rPr>
                <w:rFonts w:cs="Times New Roman"/>
                <w:sz w:val="18"/>
                <w:szCs w:val="18"/>
              </w:rPr>
              <w:t>TP1: Integrated Urban Water Management Tool</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FF" w:themeFill="background1"/>
          </w:tcPr>
          <w:p w:rsidR="00316600" w:rsidRPr="004A1DDC" w:rsidRDefault="00316600" w:rsidP="009B0E7A">
            <w:pPr>
              <w:rPr>
                <w:rFonts w:cs="Times New Roman"/>
                <w:sz w:val="18"/>
                <w:szCs w:val="18"/>
              </w:rPr>
            </w:pPr>
          </w:p>
        </w:tc>
        <w:tc>
          <w:tcPr>
            <w:tcW w:w="449" w:type="dxa"/>
            <w:gridSpan w:val="2"/>
            <w:vMerge/>
          </w:tcPr>
          <w:p w:rsidR="00316600" w:rsidRPr="004A1DDC" w:rsidRDefault="00316600" w:rsidP="009B0E7A">
            <w:pPr>
              <w:rPr>
                <w:rFonts w:cs="Times New Roman"/>
                <w:sz w:val="18"/>
                <w:szCs w:val="18"/>
              </w:rPr>
            </w:pPr>
          </w:p>
        </w:tc>
        <w:tc>
          <w:tcPr>
            <w:tcW w:w="3063" w:type="dxa"/>
            <w:shd w:val="clear" w:color="auto" w:fill="FFFFFF" w:themeFill="background1"/>
          </w:tcPr>
          <w:p w:rsidR="00316600" w:rsidRPr="004A1DDC" w:rsidRDefault="00316600" w:rsidP="009B0E7A">
            <w:pPr>
              <w:rPr>
                <w:rFonts w:cs="Times New Roman"/>
                <w:sz w:val="18"/>
                <w:szCs w:val="18"/>
              </w:rPr>
            </w:pPr>
          </w:p>
        </w:tc>
      </w:tr>
      <w:tr w:rsidR="00316600" w:rsidRPr="004A1DDC" w:rsidTr="004C3B85">
        <w:tc>
          <w:tcPr>
            <w:tcW w:w="581" w:type="dxa"/>
            <w:vMerge w:val="restart"/>
          </w:tcPr>
          <w:p w:rsidR="00316600" w:rsidRPr="004A1DDC" w:rsidRDefault="00316600" w:rsidP="009B0E7A">
            <w:pPr>
              <w:jc w:val="center"/>
              <w:rPr>
                <w:rFonts w:cs="Times New Roman"/>
                <w:b/>
                <w:sz w:val="18"/>
                <w:szCs w:val="18"/>
              </w:rPr>
            </w:pPr>
            <w:r w:rsidRPr="004A1DDC">
              <w:rPr>
                <w:rFonts w:cs="Times New Roman"/>
                <w:b/>
                <w:sz w:val="18"/>
                <w:szCs w:val="18"/>
              </w:rPr>
              <w:t>Jan. 17, 2015</w:t>
            </w: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w:t>
            </w:r>
          </w:p>
        </w:tc>
        <w:tc>
          <w:tcPr>
            <w:tcW w:w="5173" w:type="dxa"/>
            <w:gridSpan w:val="5"/>
            <w:shd w:val="clear" w:color="auto" w:fill="FFC000"/>
          </w:tcPr>
          <w:p w:rsidR="00316600" w:rsidRPr="004A1DDC" w:rsidRDefault="00316600" w:rsidP="005F66FE">
            <w:pPr>
              <w:rPr>
                <w:rFonts w:cs="Times New Roman"/>
                <w:b/>
                <w:sz w:val="18"/>
                <w:szCs w:val="18"/>
              </w:rPr>
            </w:pPr>
            <w:r w:rsidRPr="004A1DDC">
              <w:rPr>
                <w:rFonts w:cs="Times New Roman"/>
                <w:sz w:val="18"/>
                <w:szCs w:val="18"/>
              </w:rPr>
              <w:t>S11: Preparedness and Management of Water Related Disasters</w:t>
            </w:r>
            <w:r>
              <w:rPr>
                <w:rFonts w:cs="Times New Roman"/>
                <w:sz w:val="18"/>
                <w:szCs w:val="18"/>
              </w:rPr>
              <w:t xml:space="preserve">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00"/>
          </w:tcPr>
          <w:p w:rsidR="00316600" w:rsidRPr="004A1DDC" w:rsidRDefault="00316600" w:rsidP="009B0E7A">
            <w:pPr>
              <w:rPr>
                <w:rFonts w:cs="Times New Roman"/>
                <w:sz w:val="18"/>
                <w:szCs w:val="18"/>
              </w:rPr>
            </w:pPr>
            <w:r w:rsidRPr="004A1DDC">
              <w:rPr>
                <w:rFonts w:cs="Times New Roman"/>
                <w:sz w:val="18"/>
                <w:szCs w:val="18"/>
              </w:rPr>
              <w:t>PD4: Review of Appraisal Process of WR Projects in Fast Changing and Complex Development Scenario</w:t>
            </w:r>
            <w:r>
              <w:rPr>
                <w:rFonts w:cs="Times New Roman"/>
                <w:sz w:val="18"/>
                <w:szCs w:val="18"/>
              </w:rPr>
              <w:t xml:space="preserve"> </w:t>
            </w:r>
          </w:p>
        </w:tc>
        <w:tc>
          <w:tcPr>
            <w:tcW w:w="449" w:type="dxa"/>
            <w:gridSpan w:val="2"/>
            <w:vMerge/>
          </w:tcPr>
          <w:p w:rsidR="00316600" w:rsidRPr="004A1DDC" w:rsidRDefault="00316600" w:rsidP="009B0E7A">
            <w:pPr>
              <w:rPr>
                <w:rFonts w:cs="Times New Roman"/>
                <w:sz w:val="18"/>
                <w:szCs w:val="18"/>
              </w:rPr>
            </w:pPr>
          </w:p>
        </w:tc>
        <w:tc>
          <w:tcPr>
            <w:tcW w:w="3063" w:type="dxa"/>
            <w:vMerge w:val="restart"/>
            <w:shd w:val="clear" w:color="auto" w:fill="FDE9D9" w:themeFill="accent6" w:themeFillTint="33"/>
            <w:vAlign w:val="center"/>
          </w:tcPr>
          <w:p w:rsidR="00316600" w:rsidRPr="004A1DDC" w:rsidRDefault="00316600" w:rsidP="002A58EA">
            <w:pPr>
              <w:jc w:val="center"/>
              <w:rPr>
                <w:rFonts w:cs="Times New Roman"/>
                <w:b/>
                <w:sz w:val="18"/>
                <w:szCs w:val="18"/>
              </w:rPr>
            </w:pPr>
            <w:r w:rsidRPr="004A1DDC">
              <w:rPr>
                <w:rFonts w:cs="Times New Roman"/>
                <w:b/>
                <w:sz w:val="18"/>
                <w:szCs w:val="18"/>
              </w:rPr>
              <w:t xml:space="preserve">Valedictory Session </w:t>
            </w:r>
          </w:p>
        </w:tc>
      </w:tr>
      <w:tr w:rsidR="00316600" w:rsidRPr="004A1DDC" w:rsidTr="004C3B85">
        <w:trPr>
          <w:trHeight w:val="393"/>
        </w:trPr>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II</w:t>
            </w:r>
          </w:p>
        </w:tc>
        <w:tc>
          <w:tcPr>
            <w:tcW w:w="5173" w:type="dxa"/>
            <w:gridSpan w:val="5"/>
            <w:shd w:val="clear" w:color="auto" w:fill="FFC000"/>
          </w:tcPr>
          <w:p w:rsidR="00316600" w:rsidRPr="004A1DDC" w:rsidRDefault="00316600" w:rsidP="005F66FE">
            <w:pPr>
              <w:rPr>
                <w:rFonts w:cs="Times New Roman"/>
                <w:sz w:val="18"/>
                <w:szCs w:val="18"/>
              </w:rPr>
            </w:pPr>
            <w:r w:rsidRPr="004A1DDC">
              <w:rPr>
                <w:rFonts w:cs="Times New Roman"/>
                <w:sz w:val="18"/>
                <w:szCs w:val="18"/>
              </w:rPr>
              <w:t xml:space="preserve">S3: Sustainable Agriculture – Making Use of Technological Advances in Water Management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C000"/>
          </w:tcPr>
          <w:p w:rsidR="00316600" w:rsidRPr="004A1DDC" w:rsidRDefault="00316600" w:rsidP="009B0E7A">
            <w:pPr>
              <w:rPr>
                <w:rFonts w:cs="Times New Roman"/>
                <w:sz w:val="18"/>
                <w:szCs w:val="18"/>
              </w:rPr>
            </w:pPr>
            <w:r w:rsidRPr="004A1DDC">
              <w:rPr>
                <w:rFonts w:cs="Times New Roman"/>
                <w:sz w:val="18"/>
                <w:szCs w:val="18"/>
              </w:rPr>
              <w:t xml:space="preserve">S15: Towards Accelerated Development of Hydro-power – Issues and Challenges </w:t>
            </w:r>
            <w:r>
              <w:rPr>
                <w:rFonts w:cs="Times New Roman"/>
                <w:b/>
                <w:sz w:val="18"/>
                <w:szCs w:val="18"/>
              </w:rPr>
              <w:t xml:space="preserve"> </w:t>
            </w:r>
          </w:p>
        </w:tc>
        <w:tc>
          <w:tcPr>
            <w:tcW w:w="449" w:type="dxa"/>
            <w:gridSpan w:val="2"/>
            <w:vMerge/>
          </w:tcPr>
          <w:p w:rsidR="00316600" w:rsidRPr="004A1DDC" w:rsidRDefault="00316600" w:rsidP="009B0E7A">
            <w:pPr>
              <w:rPr>
                <w:rFonts w:cs="Times New Roman"/>
                <w:sz w:val="18"/>
                <w:szCs w:val="18"/>
              </w:rPr>
            </w:pPr>
          </w:p>
        </w:tc>
        <w:tc>
          <w:tcPr>
            <w:tcW w:w="3063" w:type="dxa"/>
            <w:vMerge/>
            <w:shd w:val="clear" w:color="auto" w:fill="FDE9D9" w:themeFill="accent6" w:themeFillTint="33"/>
          </w:tcPr>
          <w:p w:rsidR="00316600" w:rsidRPr="004A1DDC" w:rsidRDefault="00316600" w:rsidP="009B0E7A">
            <w:pPr>
              <w:jc w:val="center"/>
              <w:rPr>
                <w:rFonts w:cs="Times New Roman"/>
                <w:sz w:val="18"/>
                <w:szCs w:val="18"/>
              </w:rPr>
            </w:pPr>
          </w:p>
        </w:tc>
      </w:tr>
      <w:tr w:rsidR="00316600" w:rsidRPr="004A1DDC" w:rsidTr="004C3B85">
        <w:trPr>
          <w:trHeight w:val="208"/>
        </w:trPr>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III</w:t>
            </w:r>
          </w:p>
        </w:tc>
        <w:tc>
          <w:tcPr>
            <w:tcW w:w="5173" w:type="dxa"/>
            <w:gridSpan w:val="5"/>
            <w:shd w:val="clear" w:color="auto" w:fill="F2DBDB" w:themeFill="accent2" w:themeFillTint="33"/>
          </w:tcPr>
          <w:p w:rsidR="00316600" w:rsidRPr="004A1DDC" w:rsidRDefault="0023194F" w:rsidP="009B0E7A">
            <w:pPr>
              <w:rPr>
                <w:rFonts w:cs="Times New Roman"/>
                <w:sz w:val="18"/>
                <w:szCs w:val="18"/>
              </w:rPr>
            </w:pPr>
            <w:r w:rsidRPr="004A1DDC">
              <w:rPr>
                <w:rFonts w:cs="Times New Roman"/>
                <w:sz w:val="18"/>
                <w:szCs w:val="18"/>
              </w:rPr>
              <w:t>BS2: Water Supply in Growing Cities – Issues and Challenges</w:t>
            </w:r>
            <w:r w:rsidR="00316600" w:rsidRPr="004A1DDC">
              <w:rPr>
                <w:rFonts w:cs="Times New Roman"/>
                <w:sz w:val="18"/>
                <w:szCs w:val="18"/>
              </w:rPr>
              <w:t xml:space="preserve">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FFFFFF" w:themeFill="background1"/>
          </w:tcPr>
          <w:p w:rsidR="00316600" w:rsidRPr="004A1DDC" w:rsidRDefault="00316600" w:rsidP="009B0E7A">
            <w:pPr>
              <w:rPr>
                <w:rFonts w:cs="Times New Roman"/>
                <w:sz w:val="18"/>
                <w:szCs w:val="18"/>
              </w:rPr>
            </w:pPr>
          </w:p>
        </w:tc>
        <w:tc>
          <w:tcPr>
            <w:tcW w:w="449" w:type="dxa"/>
            <w:gridSpan w:val="2"/>
            <w:vMerge/>
          </w:tcPr>
          <w:p w:rsidR="00316600" w:rsidRPr="004A1DDC" w:rsidRDefault="00316600" w:rsidP="009B0E7A">
            <w:pPr>
              <w:rPr>
                <w:rFonts w:cs="Times New Roman"/>
                <w:sz w:val="18"/>
                <w:szCs w:val="18"/>
              </w:rPr>
            </w:pPr>
          </w:p>
        </w:tc>
        <w:tc>
          <w:tcPr>
            <w:tcW w:w="3063" w:type="dxa"/>
            <w:vMerge/>
            <w:shd w:val="clear" w:color="auto" w:fill="FDE9D9" w:themeFill="accent6" w:themeFillTint="33"/>
          </w:tcPr>
          <w:p w:rsidR="00316600" w:rsidRPr="004A1DDC" w:rsidRDefault="00316600" w:rsidP="009B0E7A">
            <w:pPr>
              <w:jc w:val="center"/>
              <w:rPr>
                <w:rFonts w:cs="Times New Roman"/>
                <w:sz w:val="18"/>
                <w:szCs w:val="18"/>
              </w:rPr>
            </w:pPr>
          </w:p>
        </w:tc>
      </w:tr>
      <w:tr w:rsidR="00316600" w:rsidRPr="004A1DDC" w:rsidTr="004C3B85">
        <w:tc>
          <w:tcPr>
            <w:tcW w:w="581" w:type="dxa"/>
            <w:vMerge/>
          </w:tcPr>
          <w:p w:rsidR="00316600" w:rsidRPr="004A1DDC" w:rsidRDefault="00316600" w:rsidP="009B0E7A">
            <w:pPr>
              <w:jc w:val="center"/>
              <w:rPr>
                <w:rFonts w:cs="Times New Roman"/>
                <w:b/>
                <w:sz w:val="18"/>
                <w:szCs w:val="18"/>
              </w:rPr>
            </w:pPr>
          </w:p>
        </w:tc>
        <w:tc>
          <w:tcPr>
            <w:tcW w:w="546" w:type="dxa"/>
          </w:tcPr>
          <w:p w:rsidR="00316600" w:rsidRPr="004A1DDC" w:rsidRDefault="00316600" w:rsidP="009B0E7A">
            <w:pPr>
              <w:jc w:val="center"/>
              <w:rPr>
                <w:rFonts w:cs="Times New Roman"/>
                <w:b/>
                <w:sz w:val="18"/>
                <w:szCs w:val="18"/>
              </w:rPr>
            </w:pPr>
            <w:r w:rsidRPr="004A1DDC">
              <w:rPr>
                <w:rFonts w:cs="Times New Roman"/>
                <w:b/>
                <w:sz w:val="18"/>
                <w:szCs w:val="18"/>
              </w:rPr>
              <w:t>IV</w:t>
            </w:r>
          </w:p>
        </w:tc>
        <w:tc>
          <w:tcPr>
            <w:tcW w:w="5173" w:type="dxa"/>
            <w:gridSpan w:val="5"/>
            <w:shd w:val="clear" w:color="auto" w:fill="FFFF00"/>
          </w:tcPr>
          <w:p w:rsidR="00316600" w:rsidRPr="004A1DDC" w:rsidRDefault="00316600" w:rsidP="005F66FE">
            <w:pPr>
              <w:rPr>
                <w:rFonts w:cs="Times New Roman"/>
                <w:sz w:val="18"/>
                <w:szCs w:val="18"/>
              </w:rPr>
            </w:pPr>
            <w:r w:rsidRPr="004A1DDC">
              <w:rPr>
                <w:rFonts w:cs="Times New Roman"/>
                <w:sz w:val="18"/>
                <w:szCs w:val="18"/>
              </w:rPr>
              <w:t>PD10: Cost Apportionment and regulation Policy for Multipurpose Projects with Predominant Hydropower Component</w:t>
            </w:r>
            <w:r>
              <w:rPr>
                <w:rFonts w:cs="Times New Roman"/>
                <w:sz w:val="18"/>
                <w:szCs w:val="18"/>
              </w:rPr>
              <w:t xml:space="preserve"> </w:t>
            </w:r>
          </w:p>
        </w:tc>
        <w:tc>
          <w:tcPr>
            <w:tcW w:w="535" w:type="dxa"/>
            <w:vMerge/>
          </w:tcPr>
          <w:p w:rsidR="00316600" w:rsidRPr="004A1DDC" w:rsidRDefault="00316600" w:rsidP="009B0E7A">
            <w:pPr>
              <w:jc w:val="center"/>
              <w:rPr>
                <w:rFonts w:cs="Times New Roman"/>
                <w:sz w:val="18"/>
                <w:szCs w:val="18"/>
              </w:rPr>
            </w:pPr>
          </w:p>
        </w:tc>
        <w:tc>
          <w:tcPr>
            <w:tcW w:w="3511" w:type="dxa"/>
            <w:gridSpan w:val="3"/>
            <w:shd w:val="clear" w:color="auto" w:fill="auto"/>
          </w:tcPr>
          <w:p w:rsidR="00316600" w:rsidRPr="004A1DDC" w:rsidRDefault="00316600" w:rsidP="005F66FE">
            <w:pPr>
              <w:rPr>
                <w:rFonts w:cs="Times New Roman"/>
                <w:b/>
                <w:sz w:val="18"/>
                <w:szCs w:val="18"/>
              </w:rPr>
            </w:pPr>
          </w:p>
        </w:tc>
        <w:tc>
          <w:tcPr>
            <w:tcW w:w="449" w:type="dxa"/>
            <w:gridSpan w:val="2"/>
            <w:vMerge/>
          </w:tcPr>
          <w:p w:rsidR="00316600" w:rsidRPr="004A1DDC" w:rsidRDefault="00316600" w:rsidP="009B0E7A">
            <w:pPr>
              <w:rPr>
                <w:rFonts w:cs="Times New Roman"/>
                <w:sz w:val="18"/>
                <w:szCs w:val="18"/>
              </w:rPr>
            </w:pPr>
          </w:p>
        </w:tc>
        <w:tc>
          <w:tcPr>
            <w:tcW w:w="3063" w:type="dxa"/>
            <w:vMerge/>
            <w:shd w:val="clear" w:color="auto" w:fill="FDE9D9" w:themeFill="accent6" w:themeFillTint="33"/>
          </w:tcPr>
          <w:p w:rsidR="00316600" w:rsidRPr="004A1DDC" w:rsidRDefault="00316600" w:rsidP="009B0E7A">
            <w:pPr>
              <w:jc w:val="center"/>
              <w:rPr>
                <w:rFonts w:cs="Times New Roman"/>
                <w:sz w:val="18"/>
                <w:szCs w:val="18"/>
              </w:rPr>
            </w:pPr>
          </w:p>
        </w:tc>
      </w:tr>
      <w:tr w:rsidR="008173FB" w:rsidRPr="004A1DDC" w:rsidTr="002A58EA">
        <w:tc>
          <w:tcPr>
            <w:tcW w:w="581" w:type="dxa"/>
          </w:tcPr>
          <w:p w:rsidR="008173FB" w:rsidRPr="004A1DDC" w:rsidRDefault="008173FB" w:rsidP="009B0E7A">
            <w:pPr>
              <w:jc w:val="center"/>
              <w:rPr>
                <w:rFonts w:cs="Times New Roman"/>
                <w:b/>
                <w:sz w:val="18"/>
                <w:szCs w:val="18"/>
              </w:rPr>
            </w:pPr>
          </w:p>
        </w:tc>
        <w:tc>
          <w:tcPr>
            <w:tcW w:w="546" w:type="dxa"/>
          </w:tcPr>
          <w:p w:rsidR="008173FB" w:rsidRPr="004A1DDC" w:rsidRDefault="004C3B85" w:rsidP="009B0E7A">
            <w:pPr>
              <w:jc w:val="center"/>
              <w:rPr>
                <w:rFonts w:cs="Times New Roman"/>
                <w:b/>
                <w:sz w:val="18"/>
                <w:szCs w:val="18"/>
              </w:rPr>
            </w:pPr>
            <w:r>
              <w:rPr>
                <w:rFonts w:cs="Times New Roman"/>
                <w:b/>
                <w:sz w:val="18"/>
                <w:szCs w:val="18"/>
              </w:rPr>
              <w:t>V</w:t>
            </w:r>
          </w:p>
        </w:tc>
        <w:tc>
          <w:tcPr>
            <w:tcW w:w="5173" w:type="dxa"/>
            <w:gridSpan w:val="5"/>
            <w:shd w:val="clear" w:color="auto" w:fill="FFFF00"/>
          </w:tcPr>
          <w:p w:rsidR="008173FB" w:rsidRPr="004A1DDC" w:rsidRDefault="002A58EA" w:rsidP="005F66FE">
            <w:pPr>
              <w:rPr>
                <w:rFonts w:cs="Times New Roman"/>
                <w:sz w:val="18"/>
                <w:szCs w:val="18"/>
              </w:rPr>
            </w:pPr>
            <w:r w:rsidRPr="004A1DDC">
              <w:rPr>
                <w:rFonts w:cs="Times New Roman"/>
                <w:sz w:val="18"/>
                <w:szCs w:val="18"/>
              </w:rPr>
              <w:t>PD12: Water Informatics</w:t>
            </w:r>
          </w:p>
        </w:tc>
        <w:tc>
          <w:tcPr>
            <w:tcW w:w="535" w:type="dxa"/>
          </w:tcPr>
          <w:p w:rsidR="008173FB" w:rsidRPr="004A1DDC" w:rsidRDefault="008173FB" w:rsidP="009B0E7A">
            <w:pPr>
              <w:jc w:val="center"/>
              <w:rPr>
                <w:rFonts w:cs="Times New Roman"/>
                <w:sz w:val="18"/>
                <w:szCs w:val="18"/>
              </w:rPr>
            </w:pPr>
          </w:p>
        </w:tc>
        <w:tc>
          <w:tcPr>
            <w:tcW w:w="3511" w:type="dxa"/>
            <w:gridSpan w:val="3"/>
            <w:shd w:val="clear" w:color="auto" w:fill="FFFF00"/>
          </w:tcPr>
          <w:p w:rsidR="008173FB" w:rsidRPr="004A1DDC" w:rsidRDefault="002A58EA" w:rsidP="005F66FE">
            <w:pPr>
              <w:rPr>
                <w:rFonts w:cs="Times New Roman"/>
                <w:b/>
                <w:sz w:val="18"/>
                <w:szCs w:val="18"/>
              </w:rPr>
            </w:pPr>
            <w:r w:rsidRPr="004A1DDC">
              <w:rPr>
                <w:rFonts w:cs="Times New Roman"/>
                <w:sz w:val="18"/>
                <w:szCs w:val="18"/>
              </w:rPr>
              <w:t>PD12: Water Informatics</w:t>
            </w:r>
            <w:r>
              <w:rPr>
                <w:rFonts w:cs="Times New Roman"/>
                <w:sz w:val="18"/>
                <w:szCs w:val="18"/>
              </w:rPr>
              <w:t xml:space="preserve"> </w:t>
            </w:r>
          </w:p>
        </w:tc>
        <w:tc>
          <w:tcPr>
            <w:tcW w:w="449" w:type="dxa"/>
            <w:gridSpan w:val="2"/>
          </w:tcPr>
          <w:p w:rsidR="008173FB" w:rsidRPr="004A1DDC" w:rsidRDefault="008173FB" w:rsidP="009B0E7A">
            <w:pPr>
              <w:rPr>
                <w:rFonts w:cs="Times New Roman"/>
                <w:sz w:val="18"/>
                <w:szCs w:val="18"/>
              </w:rPr>
            </w:pPr>
          </w:p>
        </w:tc>
        <w:tc>
          <w:tcPr>
            <w:tcW w:w="3063" w:type="dxa"/>
            <w:shd w:val="clear" w:color="auto" w:fill="auto"/>
          </w:tcPr>
          <w:p w:rsidR="008173FB" w:rsidRPr="004A1DDC" w:rsidRDefault="008173FB" w:rsidP="009B0E7A">
            <w:pPr>
              <w:jc w:val="center"/>
              <w:rPr>
                <w:rFonts w:cs="Times New Roman"/>
                <w:sz w:val="18"/>
                <w:szCs w:val="18"/>
              </w:rPr>
            </w:pPr>
          </w:p>
        </w:tc>
      </w:tr>
      <w:tr w:rsidR="0003017E" w:rsidTr="004C3B85">
        <w:trPr>
          <w:gridAfter w:val="2"/>
          <w:wAfter w:w="3397" w:type="dxa"/>
        </w:trPr>
        <w:tc>
          <w:tcPr>
            <w:tcW w:w="1743" w:type="dxa"/>
            <w:gridSpan w:val="3"/>
            <w:shd w:val="clear" w:color="auto" w:fill="FFC000"/>
          </w:tcPr>
          <w:p w:rsidR="0003017E" w:rsidRDefault="0003017E" w:rsidP="00316600">
            <w:pPr>
              <w:rPr>
                <w:sz w:val="18"/>
                <w:szCs w:val="18"/>
              </w:rPr>
            </w:pPr>
            <w:r>
              <w:rPr>
                <w:sz w:val="18"/>
                <w:szCs w:val="18"/>
              </w:rPr>
              <w:t xml:space="preserve">Seminar </w:t>
            </w:r>
          </w:p>
        </w:tc>
        <w:tc>
          <w:tcPr>
            <w:tcW w:w="1744" w:type="dxa"/>
            <w:shd w:val="clear" w:color="auto" w:fill="FFFF00"/>
          </w:tcPr>
          <w:p w:rsidR="0003017E" w:rsidRDefault="0003017E" w:rsidP="00316600">
            <w:pPr>
              <w:rPr>
                <w:sz w:val="18"/>
                <w:szCs w:val="18"/>
              </w:rPr>
            </w:pPr>
            <w:r>
              <w:rPr>
                <w:sz w:val="18"/>
                <w:szCs w:val="18"/>
              </w:rPr>
              <w:t>Panel Discussion</w:t>
            </w:r>
          </w:p>
        </w:tc>
        <w:tc>
          <w:tcPr>
            <w:tcW w:w="1743" w:type="dxa"/>
            <w:gridSpan w:val="2"/>
            <w:shd w:val="clear" w:color="auto" w:fill="F2DBDB" w:themeFill="accent2" w:themeFillTint="33"/>
          </w:tcPr>
          <w:p w:rsidR="0003017E" w:rsidRDefault="0003017E" w:rsidP="0003017E">
            <w:pPr>
              <w:rPr>
                <w:sz w:val="18"/>
                <w:szCs w:val="18"/>
              </w:rPr>
            </w:pPr>
            <w:r>
              <w:rPr>
                <w:sz w:val="18"/>
                <w:szCs w:val="18"/>
              </w:rPr>
              <w:t>Brainstorming S.</w:t>
            </w:r>
          </w:p>
        </w:tc>
        <w:tc>
          <w:tcPr>
            <w:tcW w:w="1744" w:type="dxa"/>
            <w:gridSpan w:val="3"/>
            <w:shd w:val="clear" w:color="auto" w:fill="FDE9D9" w:themeFill="accent6" w:themeFillTint="33"/>
          </w:tcPr>
          <w:p w:rsidR="0003017E" w:rsidRDefault="0003017E" w:rsidP="0003017E">
            <w:pPr>
              <w:rPr>
                <w:sz w:val="18"/>
                <w:szCs w:val="18"/>
              </w:rPr>
            </w:pPr>
            <w:r>
              <w:rPr>
                <w:sz w:val="18"/>
                <w:szCs w:val="18"/>
              </w:rPr>
              <w:t xml:space="preserve">Case Studies </w:t>
            </w:r>
          </w:p>
        </w:tc>
        <w:tc>
          <w:tcPr>
            <w:tcW w:w="1743" w:type="dxa"/>
            <w:shd w:val="clear" w:color="auto" w:fill="548DD4" w:themeFill="text2" w:themeFillTint="99"/>
          </w:tcPr>
          <w:p w:rsidR="0003017E" w:rsidRDefault="0003017E" w:rsidP="0003017E">
            <w:pPr>
              <w:rPr>
                <w:sz w:val="18"/>
                <w:szCs w:val="18"/>
              </w:rPr>
            </w:pPr>
            <w:r>
              <w:rPr>
                <w:sz w:val="18"/>
                <w:szCs w:val="18"/>
              </w:rPr>
              <w:t>Training Pro.</w:t>
            </w:r>
          </w:p>
        </w:tc>
        <w:tc>
          <w:tcPr>
            <w:tcW w:w="1744" w:type="dxa"/>
            <w:gridSpan w:val="2"/>
            <w:shd w:val="clear" w:color="auto" w:fill="92D050"/>
          </w:tcPr>
          <w:p w:rsidR="0003017E" w:rsidRDefault="0003017E" w:rsidP="0003017E">
            <w:pPr>
              <w:rPr>
                <w:sz w:val="18"/>
                <w:szCs w:val="18"/>
              </w:rPr>
            </w:pPr>
            <w:r>
              <w:rPr>
                <w:sz w:val="18"/>
                <w:szCs w:val="18"/>
              </w:rPr>
              <w:t xml:space="preserve">Special Events </w:t>
            </w:r>
          </w:p>
        </w:tc>
      </w:tr>
    </w:tbl>
    <w:p w:rsidR="00316600" w:rsidRPr="004A1DDC" w:rsidRDefault="00316600" w:rsidP="004C3B85">
      <w:pPr>
        <w:rPr>
          <w:sz w:val="18"/>
          <w:szCs w:val="18"/>
        </w:rPr>
      </w:pPr>
    </w:p>
    <w:sectPr w:rsidR="00316600" w:rsidRPr="004A1DDC" w:rsidSect="004C3B85">
      <w:pgSz w:w="16838" w:h="11906" w:orient="landscape"/>
      <w:pgMar w:top="142" w:right="1440" w:bottom="426"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15FB"/>
    <w:rsid w:val="00016BC0"/>
    <w:rsid w:val="0003017E"/>
    <w:rsid w:val="00045837"/>
    <w:rsid w:val="000C447D"/>
    <w:rsid w:val="000D5B71"/>
    <w:rsid w:val="000F088E"/>
    <w:rsid w:val="000F391D"/>
    <w:rsid w:val="000F41F5"/>
    <w:rsid w:val="00162F07"/>
    <w:rsid w:val="001D75FC"/>
    <w:rsid w:val="0023194F"/>
    <w:rsid w:val="002435C7"/>
    <w:rsid w:val="002A58EA"/>
    <w:rsid w:val="00316600"/>
    <w:rsid w:val="00321457"/>
    <w:rsid w:val="00371AA3"/>
    <w:rsid w:val="00377EDB"/>
    <w:rsid w:val="004325E5"/>
    <w:rsid w:val="00467DCD"/>
    <w:rsid w:val="004A1DDC"/>
    <w:rsid w:val="004C3B85"/>
    <w:rsid w:val="004D1059"/>
    <w:rsid w:val="004F031E"/>
    <w:rsid w:val="00554776"/>
    <w:rsid w:val="005F66FE"/>
    <w:rsid w:val="00676CC6"/>
    <w:rsid w:val="006D2660"/>
    <w:rsid w:val="007064F3"/>
    <w:rsid w:val="00773E4F"/>
    <w:rsid w:val="0077787F"/>
    <w:rsid w:val="00795EB1"/>
    <w:rsid w:val="007F62A4"/>
    <w:rsid w:val="00813EEA"/>
    <w:rsid w:val="008173FB"/>
    <w:rsid w:val="00862420"/>
    <w:rsid w:val="00881356"/>
    <w:rsid w:val="008E0376"/>
    <w:rsid w:val="009678D3"/>
    <w:rsid w:val="009D1D29"/>
    <w:rsid w:val="00AF4453"/>
    <w:rsid w:val="00B03300"/>
    <w:rsid w:val="00B25494"/>
    <w:rsid w:val="00B2606F"/>
    <w:rsid w:val="00BA4044"/>
    <w:rsid w:val="00BA4DF4"/>
    <w:rsid w:val="00BE4296"/>
    <w:rsid w:val="00C036C5"/>
    <w:rsid w:val="00C41A76"/>
    <w:rsid w:val="00C478F3"/>
    <w:rsid w:val="00C91E7A"/>
    <w:rsid w:val="00C93C86"/>
    <w:rsid w:val="00D95947"/>
    <w:rsid w:val="00DC29F3"/>
    <w:rsid w:val="00E215FB"/>
    <w:rsid w:val="00E63DBE"/>
    <w:rsid w:val="00EA59D1"/>
    <w:rsid w:val="00F07599"/>
    <w:rsid w:val="00F14C8E"/>
    <w:rsid w:val="00F50EDF"/>
    <w:rsid w:val="00FA48C4"/>
    <w:rsid w:val="00FD67D2"/>
    <w:rsid w:val="00FF0CB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0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5FB"/>
    <w:pPr>
      <w:spacing w:after="0" w:line="240" w:lineRule="auto"/>
    </w:pPr>
    <w:rPr>
      <w:rFonts w:eastAsiaTheme="minorHAnsi"/>
      <w:szCs w:val="20"/>
      <w:lang w:val="en-US" w:eastAsia="en-US"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33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30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FBD8-5AA8-4184-BBA8-2B2E46BF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Dlip</dc:creator>
  <cp:lastModifiedBy>admin</cp:lastModifiedBy>
  <cp:revision>2</cp:revision>
  <cp:lastPrinted>2014-12-10T07:06:00Z</cp:lastPrinted>
  <dcterms:created xsi:type="dcterms:W3CDTF">2014-12-13T03:06:00Z</dcterms:created>
  <dcterms:modified xsi:type="dcterms:W3CDTF">2014-12-13T03:06:00Z</dcterms:modified>
</cp:coreProperties>
</file>